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 w:beforeLines="100" w:line="600" w:lineRule="exact"/>
        <w:jc w:val="center"/>
        <w:rPr>
          <w:rFonts w:ascii="方正小标宋简体" w:hAnsi="宋体" w:eastAsia="方正小标宋简体" w:cs="Times New Roman"/>
          <w:b/>
          <w:sz w:val="48"/>
          <w:szCs w:val="48"/>
        </w:rPr>
      </w:pPr>
      <w:r>
        <w:rPr>
          <w:rFonts w:hint="eastAsia" w:ascii="方正小标宋简体" w:hAnsi="宋体" w:eastAsia="方正小标宋简体" w:cs="Times New Roman"/>
          <w:b/>
          <w:sz w:val="72"/>
          <w:szCs w:val="72"/>
        </w:rPr>
        <w:t>竞争性磋商文件</w:t>
      </w:r>
    </w:p>
    <w:p>
      <w:pPr>
        <w:spacing w:before="240" w:beforeLines="100" w:after="120"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20"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w:t>
      </w:r>
      <w:r>
        <w:rPr>
          <w:rFonts w:hint="eastAsia" w:ascii="仿宋_GB2312" w:hAnsi="宋体" w:eastAsia="仿宋_GB2312" w:cs="Times New Roman"/>
          <w:b/>
          <w:color w:val="000000"/>
          <w:sz w:val="32"/>
          <w:szCs w:val="32"/>
          <w:lang w:val="en-US" w:eastAsia="zh-CN"/>
        </w:rPr>
        <w:t>营养食堂</w:t>
      </w:r>
      <w:r>
        <w:rPr>
          <w:rFonts w:hint="eastAsia" w:ascii="仿宋_GB2312" w:hAnsi="宋体" w:eastAsia="仿宋_GB2312" w:cs="Times New Roman"/>
          <w:b/>
          <w:color w:val="000000"/>
          <w:sz w:val="32"/>
          <w:szCs w:val="32"/>
        </w:rPr>
        <w:t>肉类、蔬菜类、蛋类等</w:t>
      </w:r>
      <w:r>
        <w:rPr>
          <w:rFonts w:hint="eastAsia" w:ascii="仿宋_GB2312" w:hAnsi="宋体" w:eastAsia="仿宋_GB2312" w:cs="Times New Roman"/>
          <w:b/>
          <w:color w:val="000000"/>
          <w:sz w:val="32"/>
          <w:szCs w:val="32"/>
          <w:lang w:val="en-US" w:eastAsia="zh-CN"/>
        </w:rPr>
        <w:t>食材</w:t>
      </w:r>
      <w:r>
        <w:rPr>
          <w:rFonts w:hint="eastAsia" w:ascii="仿宋_GB2312" w:hAnsi="宋体" w:eastAsia="仿宋_GB2312" w:cs="Times New Roman"/>
          <w:b/>
          <w:color w:val="000000"/>
          <w:sz w:val="32"/>
          <w:szCs w:val="32"/>
        </w:rPr>
        <w:t>供应商遴选</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项目编号：GXGSYY-CGB-</w:t>
      </w:r>
      <w:r>
        <w:rPr>
          <w:rFonts w:hint="eastAsia" w:ascii="仿宋_GB2312" w:hAnsi="宋体" w:eastAsia="仿宋_GB2312" w:cs="Times New Roman"/>
          <w:b/>
          <w:color w:val="000000"/>
          <w:sz w:val="32"/>
          <w:szCs w:val="32"/>
          <w:lang w:val="en-US" w:eastAsia="zh-CN"/>
        </w:rPr>
        <w:t>YYST</w:t>
      </w:r>
      <w:r>
        <w:rPr>
          <w:rFonts w:hint="eastAsia" w:ascii="仿宋_GB2312" w:hAnsi="宋体" w:eastAsia="仿宋_GB2312" w:cs="Times New Roman"/>
          <w:b/>
          <w:color w:val="000000"/>
          <w:sz w:val="32"/>
          <w:szCs w:val="32"/>
        </w:rPr>
        <w:t>-2022-0</w:t>
      </w:r>
      <w:r>
        <w:rPr>
          <w:rFonts w:hint="eastAsia" w:ascii="仿宋_GB2312" w:hAnsi="宋体" w:eastAsia="仿宋_GB2312" w:cs="Times New Roman"/>
          <w:b/>
          <w:color w:val="000000"/>
          <w:sz w:val="32"/>
          <w:szCs w:val="32"/>
          <w:lang w:val="en-US" w:eastAsia="zh-CN"/>
        </w:rPr>
        <w:t>2</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hint="eastAsia"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年</w:t>
      </w:r>
      <w:r>
        <w:rPr>
          <w:rFonts w:ascii="仿宋_GB2312" w:hAnsi="宋体" w:eastAsia="仿宋_GB2312" w:cs="Times New Roman"/>
          <w:b/>
          <w:color w:val="000000"/>
          <w:sz w:val="32"/>
          <w:szCs w:val="32"/>
        </w:rPr>
        <w:t>5</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22</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遴选公告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35393629"/>
      <w:bookmarkStart w:id="2" w:name="_Toc47452205"/>
      <w:bookmarkStart w:id="3" w:name="_Toc35393798"/>
      <w:bookmarkStart w:id="4" w:name="_Toc28359089"/>
      <w:bookmarkStart w:id="5" w:name="_Toc44229878"/>
      <w:bookmarkStart w:id="6" w:name="_Toc28359012"/>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eastAsia" w:ascii="宋体" w:hAnsi="宋体" w:eastAsia="宋体" w:cs="Times New Roman"/>
          <w:color w:val="000000"/>
          <w:szCs w:val="21"/>
          <w:lang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项目编号：GXGSYY-CGB-YYST-2022-0</w:t>
      </w:r>
      <w:r>
        <w:rPr>
          <w:rFonts w:hint="eastAsia" w:ascii="宋体" w:hAnsi="宋体" w:eastAsia="宋体" w:cs="Times New Roman"/>
          <w:color w:val="000000"/>
          <w:szCs w:val="21"/>
          <w:lang w:val="en-US" w:eastAsia="zh-CN"/>
        </w:rPr>
        <w:t>2</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w:t>
      </w:r>
      <w:r>
        <w:rPr>
          <w:rFonts w:hint="eastAsia" w:ascii="宋体" w:hAnsi="宋体" w:eastAsia="宋体" w:cs="Times New Roman"/>
          <w:color w:val="000000"/>
          <w:szCs w:val="21"/>
          <w:lang w:val="en-US" w:eastAsia="zh-CN"/>
        </w:rPr>
        <w:t>营养食堂</w:t>
      </w:r>
      <w:r>
        <w:rPr>
          <w:rFonts w:hint="eastAsia" w:ascii="宋体" w:hAnsi="宋体" w:eastAsia="宋体" w:cs="Times New Roman"/>
          <w:color w:val="000000"/>
          <w:szCs w:val="21"/>
        </w:rPr>
        <w:t>肉类、蔬菜类、蛋类等</w:t>
      </w:r>
      <w:r>
        <w:rPr>
          <w:rFonts w:hint="eastAsia" w:ascii="宋体" w:hAnsi="宋体" w:eastAsia="宋体" w:cs="Times New Roman"/>
          <w:color w:val="000000"/>
          <w:szCs w:val="21"/>
          <w:lang w:val="en-US" w:eastAsia="zh-CN"/>
        </w:rPr>
        <w:t>食材</w:t>
      </w:r>
      <w:r>
        <w:rPr>
          <w:rFonts w:hint="eastAsia" w:ascii="宋体" w:hAnsi="宋体" w:eastAsia="宋体" w:cs="Times New Roman"/>
          <w:color w:val="000000"/>
          <w:szCs w:val="21"/>
        </w:rPr>
        <w:t>供应商遴选</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遴选方式：竞争性磋商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bookmarkStart w:id="7" w:name="_Toc28359090"/>
      <w:bookmarkStart w:id="8" w:name="_Toc35393799"/>
      <w:bookmarkStart w:id="9" w:name="_Toc44229879"/>
      <w:bookmarkStart w:id="10" w:name="_Toc28359013"/>
      <w:bookmarkStart w:id="11" w:name="_Toc47452206"/>
      <w:bookmarkStart w:id="12" w:name="_Toc35393630"/>
      <w:r>
        <w:rPr>
          <w:rFonts w:hint="eastAsia" w:ascii="宋体" w:hAnsi="宋体" w:eastAsia="宋体" w:cs="Times New Roman"/>
          <w:color w:val="000000"/>
          <w:szCs w:val="21"/>
        </w:rPr>
        <w:t>.服务期限：2年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服务需求</w:t>
      </w:r>
    </w:p>
    <w:tbl>
      <w:tblPr>
        <w:tblStyle w:val="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项目名称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65"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val="en-US" w:eastAsia="zh-CN"/>
              </w:rPr>
              <w:t>营养食堂</w:t>
            </w:r>
            <w:r>
              <w:rPr>
                <w:rFonts w:hint="eastAsia" w:ascii="宋体" w:hAnsi="宋体" w:eastAsia="宋体" w:cs="Times New Roman"/>
                <w:color w:val="000000"/>
                <w:szCs w:val="21"/>
              </w:rPr>
              <w:t>肉类、蔬菜类、蛋类等</w:t>
            </w:r>
            <w:r>
              <w:rPr>
                <w:rFonts w:hint="eastAsia" w:ascii="宋体" w:hAnsi="宋体" w:eastAsia="宋体" w:cs="Times New Roman"/>
                <w:color w:val="000000"/>
                <w:szCs w:val="21"/>
                <w:lang w:val="en-US" w:eastAsia="zh-CN"/>
              </w:rPr>
              <w:t>食材</w:t>
            </w:r>
            <w:r>
              <w:rPr>
                <w:rFonts w:hint="eastAsia" w:ascii="宋体" w:hAnsi="宋体" w:eastAsia="宋体" w:cs="Times New Roman"/>
                <w:color w:val="000000"/>
                <w:szCs w:val="21"/>
              </w:rPr>
              <w:t>供应商遴选</w:t>
            </w:r>
          </w:p>
        </w:tc>
        <w:tc>
          <w:tcPr>
            <w:tcW w:w="992" w:type="dxa"/>
            <w:tcBorders>
              <w:top w:val="single" w:color="auto" w:sz="4" w:space="0"/>
              <w:left w:val="nil"/>
              <w:bottom w:val="single" w:color="auto" w:sz="4" w:space="0"/>
              <w:right w:val="single" w:color="auto" w:sz="4" w:space="0"/>
            </w:tcBorders>
            <w:vAlign w:val="center"/>
          </w:tcPr>
          <w:p>
            <w:pPr>
              <w:spacing w:line="440" w:lineRule="exact"/>
              <w:jc w:val="center"/>
              <w:rPr>
                <w:rFonts w:ascii="宋体" w:hAnsi="宋体" w:eastAsia="宋体" w:cs="Calibri"/>
                <w:color w:val="000000"/>
                <w:szCs w:val="21"/>
              </w:rPr>
            </w:pPr>
            <w:r>
              <w:rPr>
                <w:rFonts w:hint="eastAsia" w:ascii="宋体" w:hAnsi="宋体" w:eastAsia="宋体" w:cs="Calibri"/>
                <w:color w:val="000000"/>
                <w:szCs w:val="21"/>
              </w:rPr>
              <w:t>1项</w:t>
            </w:r>
          </w:p>
        </w:tc>
        <w:tc>
          <w:tcPr>
            <w:tcW w:w="5103" w:type="dxa"/>
            <w:tcBorders>
              <w:top w:val="single" w:color="auto" w:sz="4" w:space="0"/>
              <w:left w:val="nil"/>
              <w:bottom w:val="single" w:color="auto" w:sz="4" w:space="0"/>
              <w:right w:val="single" w:color="auto" w:sz="4" w:space="0"/>
            </w:tcBorders>
          </w:tcPr>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一、鲜肉类（猪肉、牛肉、羊肉等）</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一）基本要求：无异味、无酸败味。新鲜肉的肌肉色泽呈鲜红色，有光泽，肥肉部分接近白色，肌肉有弹性且结实，用手指压下，手指的凹陷处可马上恢复，用手背触摸肉质，若有黏手感觉，说明肉没注水。猪肉无牛肉般鲜红。</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（二）羊肉：整羊（去头、去内脏、去蹄），不要公羊，单只重13-15kg。</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猪肺：无淤血、无破损、弹性好。</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二、家禽类</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（一）基本要求：新鲜的家禽肉肌肉色泽呈淡黄红色，肌肉有弹性且结实，无腥臭味、不黏滑、皮肤光滑。骨髓色泽呈鲜红色，变灰、变绿为品质不佳。凡出现肉淤血、骨折、露骨、脱皮等现象拒收货。</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（二）鸡：鸡体内应有小蛋花存在的为合格品，鸡大腿内侧用刀切开后无明显水迹。单只光鸡重为1.15-1.4kg。</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（三）鸭：鸭肉皮色泽略呈肉白色，大腿内侧用刀切开后无明显水迹。单只光鸭重为1.75-2kg。</w:t>
            </w:r>
          </w:p>
          <w:p>
            <w:pPr>
              <w:spacing w:line="320" w:lineRule="exact"/>
              <w:rPr>
                <w:rFonts w:hint="eastAsia" w:ascii="宋体" w:hAnsi="宋体" w:eastAsia="宋体" w:cs="Calibri"/>
                <w:color w:val="000000"/>
                <w:szCs w:val="21"/>
                <w:lang w:val="en-US" w:eastAsia="zh-CN"/>
              </w:rPr>
            </w:pPr>
            <w:r>
              <w:rPr>
                <w:rFonts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bookmarkStart w:id="13" w:name="_Toc28359091"/>
      <w:bookmarkStart w:id="14" w:name="_Toc28359014"/>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符合《中华人民共和国政府采购法》第</w:t>
      </w:r>
      <w:r>
        <w:rPr>
          <w:rFonts w:ascii="宋体" w:hAnsi="宋体" w:eastAsia="宋体" w:cs="Times New Roman"/>
          <w:color w:val="000000"/>
          <w:szCs w:val="21"/>
        </w:rPr>
        <w:t>22条之规定；</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hint="eastAsia" w:ascii="宋体" w:hAnsi="宋体" w:eastAsia="宋体" w:cs="Times New Roman"/>
          <w:color w:val="000000"/>
          <w:szCs w:val="21"/>
          <w:lang w:eastAsia="zh-CN"/>
        </w:rPr>
      </w:pPr>
      <w:r>
        <w:rPr>
          <w:rFonts w:ascii="宋体" w:hAnsi="宋体" w:eastAsia="宋体" w:cs="Times New Roman"/>
          <w:color w:val="000000"/>
          <w:szCs w:val="21"/>
        </w:rPr>
        <w:t>3.国内注册，具有法人资格，具备相关项目经营范围的单位</w:t>
      </w:r>
      <w:r>
        <w:rPr>
          <w:rFonts w:hint="eastAsia" w:ascii="宋体" w:hAnsi="宋体" w:eastAsia="宋体" w:cs="Times New Roman"/>
          <w:color w:val="000000"/>
          <w:szCs w:val="21"/>
          <w:lang w:eastAsia="zh-CN"/>
        </w:rPr>
        <w:t>；</w:t>
      </w:r>
    </w:p>
    <w:p>
      <w:pPr>
        <w:spacing w:line="320" w:lineRule="exact"/>
        <w:ind w:firstLine="420" w:firstLineChars="200"/>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4.具有食品经营许可证。</w:t>
      </w:r>
    </w:p>
    <w:bookmarkEnd w:id="13"/>
    <w:bookmarkEnd w:id="14"/>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三、获取遴选文件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.获取时间：自本公告发布之时起至202</w:t>
      </w:r>
      <w:r>
        <w:rPr>
          <w:rFonts w:hint="eastAsia" w:ascii="宋体" w:hAnsi="宋体" w:eastAsia="宋体" w:cs="Times New Roman"/>
          <w:color w:val="000000"/>
          <w:szCs w:val="21"/>
          <w:highlight w:val="none"/>
        </w:rPr>
        <w:t>2</w:t>
      </w:r>
      <w:r>
        <w:rPr>
          <w:rFonts w:ascii="宋体" w:hAnsi="宋体" w:eastAsia="宋体" w:cs="Times New Roman"/>
          <w:color w:val="000000"/>
          <w:szCs w:val="21"/>
          <w:highlight w:val="none"/>
        </w:rPr>
        <w:t>年</w:t>
      </w:r>
      <w:r>
        <w:rPr>
          <w:rFonts w:hint="eastAsia" w:ascii="宋体" w:hAnsi="宋体" w:eastAsia="宋体" w:cs="Times New Roman"/>
          <w:color w:val="000000"/>
          <w:szCs w:val="21"/>
          <w:highlight w:val="none"/>
          <w:lang w:val="en-US" w:eastAsia="zh-CN"/>
        </w:rPr>
        <w:t>6</w:t>
      </w:r>
      <w:r>
        <w:rPr>
          <w:rFonts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14</w:t>
      </w:r>
      <w:r>
        <w:rPr>
          <w:rFonts w:ascii="宋体" w:hAnsi="宋体" w:eastAsia="宋体" w:cs="Times New Roman"/>
          <w:color w:val="000000"/>
          <w:szCs w:val="21"/>
          <w:highlight w:val="none"/>
        </w:rPr>
        <w:t>日18时00分。</w:t>
      </w:r>
    </w:p>
    <w:p>
      <w:pPr>
        <w:spacing w:line="32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获取方式：在广西骨伤医院官方网站此公告附件处下载。</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w:t>
      </w:r>
      <w:r>
        <w:rPr>
          <w:rFonts w:hint="eastAsia" w:ascii="宋体" w:hAnsi="宋体" w:eastAsia="宋体" w:cs="宋体"/>
          <w:b/>
          <w:bCs/>
          <w:color w:val="000000"/>
          <w:szCs w:val="21"/>
          <w:highlight w:val="none"/>
        </w:rPr>
        <w:t>、遴选文件提交</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color w:val="000000"/>
          <w:szCs w:val="21"/>
          <w:highlight w:val="none"/>
        </w:rPr>
        <w:t>1.</w:t>
      </w:r>
      <w:r>
        <w:rPr>
          <w:rFonts w:hint="eastAsia" w:ascii="宋体" w:hAnsi="宋体" w:eastAsia="宋体" w:cs="Calibri"/>
          <w:bCs/>
          <w:color w:val="000000"/>
          <w:szCs w:val="21"/>
          <w:highlight w:val="none"/>
        </w:rPr>
        <w:t>响应文件提交开始时间：</w:t>
      </w:r>
      <w:r>
        <w:rPr>
          <w:rFonts w:hint="eastAsia" w:ascii="宋体" w:hAnsi="宋体" w:eastAsia="宋体" w:cs="Calibri"/>
          <w:bCs/>
          <w:color w:val="000000"/>
          <w:szCs w:val="21"/>
          <w:highlight w:val="none"/>
          <w:u w:val="single"/>
        </w:rPr>
        <w:t>202</w:t>
      </w:r>
      <w:r>
        <w:rPr>
          <w:rFonts w:ascii="宋体" w:hAnsi="宋体" w:eastAsia="宋体" w:cs="Calibri"/>
          <w:bCs/>
          <w:color w:val="000000"/>
          <w:szCs w:val="21"/>
          <w:highlight w:val="none"/>
          <w:u w:val="single"/>
        </w:rPr>
        <w:t>2</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6</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8</w:t>
      </w:r>
      <w:bookmarkStart w:id="27" w:name="_GoBack"/>
      <w:bookmarkEnd w:id="27"/>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bCs/>
          <w:color w:val="000000"/>
          <w:szCs w:val="21"/>
          <w:highlight w:val="none"/>
        </w:rPr>
        <w:t>2.</w:t>
      </w:r>
      <w:r>
        <w:rPr>
          <w:rFonts w:hint="eastAsia" w:ascii="宋体" w:hAnsi="宋体" w:eastAsia="宋体" w:cs="Calibri"/>
          <w:color w:val="000000"/>
          <w:szCs w:val="21"/>
          <w:highlight w:val="none"/>
        </w:rPr>
        <w:t>响应文件提交截止时间：</w:t>
      </w:r>
      <w:r>
        <w:rPr>
          <w:rFonts w:hint="eastAsia" w:ascii="宋体" w:hAnsi="宋体" w:eastAsia="宋体" w:cs="Calibri"/>
          <w:color w:val="000000"/>
          <w:szCs w:val="21"/>
          <w:highlight w:val="none"/>
          <w:u w:val="single"/>
        </w:rPr>
        <w:t>202</w:t>
      </w:r>
      <w:r>
        <w:rPr>
          <w:rFonts w:ascii="宋体" w:hAnsi="宋体" w:eastAsia="宋体" w:cs="Calibri"/>
          <w:color w:val="000000"/>
          <w:szCs w:val="21"/>
          <w:highlight w:val="none"/>
          <w:u w:val="single"/>
        </w:rPr>
        <w:t>2</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6</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14</w:t>
      </w:r>
      <w:r>
        <w:rPr>
          <w:rFonts w:hint="eastAsia" w:ascii="宋体" w:hAnsi="宋体" w:eastAsia="宋体" w:cs="Calibri"/>
          <w:bCs/>
          <w:color w:val="000000"/>
          <w:szCs w:val="21"/>
          <w:highlight w:val="none"/>
          <w:u w:val="single"/>
        </w:rPr>
        <w:t xml:space="preserve">日 </w:t>
      </w:r>
      <w:r>
        <w:rPr>
          <w:rFonts w:hint="eastAsia" w:ascii="宋体" w:hAnsi="宋体" w:eastAsia="宋体" w:cs="Calibri"/>
          <w:bCs/>
          <w:color w:val="000000"/>
          <w:szCs w:val="21"/>
          <w:highlight w:val="none"/>
          <w:u w:val="single"/>
          <w:lang w:val="en-US" w:eastAsia="zh-CN"/>
        </w:rPr>
        <w:t>18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注：供应商应当在响应文件提交截止时间前，将响应文件密封送达响应文件提交地点。在响应文件提交截止时间后送达的响应文件为无效文件，将被拒收。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五、评审</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1.时间：另行通知。</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2.地点：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凡对本次遴选提出询问，请按以下方式联系。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17344229910</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 </w:t>
      </w:r>
    </w:p>
    <w:p>
      <w:pPr>
        <w:spacing w:line="320" w:lineRule="exact"/>
        <w:ind w:firstLine="420" w:firstLineChars="200"/>
        <w:rPr>
          <w:rFonts w:hint="eastAsia" w:ascii="宋体" w:hAnsi="宋体" w:eastAsia="宋体" w:cs="Times New Roman"/>
          <w:color w:val="000000"/>
          <w:szCs w:val="21"/>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5" w:name="_Toc47452213"/>
      <w:r>
        <w:rPr>
          <w:rFonts w:hint="eastAsia" w:ascii="Cambria" w:hAnsi="Cambria" w:eastAsia="宋体" w:cs="Times New Roman"/>
          <w:b/>
          <w:bCs/>
          <w:color w:val="000000"/>
          <w:sz w:val="32"/>
          <w:szCs w:val="32"/>
          <w:lang w:val="zh-CN"/>
        </w:rPr>
        <w:t>第二章 供应商须知</w:t>
      </w:r>
      <w:bookmarkEnd w:id="15"/>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7"/>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：详见遴选公告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ascii="宋体" w:hAnsi="宋体" w:eastAsia="宋体" w:cs="宋体"/>
                <w:color w:val="000000"/>
                <w:szCs w:val="21"/>
                <w:u w:val="single"/>
              </w:rPr>
              <w:t>4</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4</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20</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021</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ascii="宋体" w:hAnsi="宋体" w:eastAsia="宋体" w:cs="宋体"/>
                <w:color w:val="000000"/>
                <w:szCs w:val="21"/>
              </w:rPr>
              <w:t>3</w:t>
            </w:r>
            <w:r>
              <w:rPr>
                <w:rFonts w:hint="eastAsia" w:ascii="宋体" w:hAnsi="宋体" w:eastAsia="宋体" w:cs="宋体"/>
                <w:color w:val="000000"/>
                <w:szCs w:val="21"/>
              </w:rPr>
              <w:t>.法定代表人授权委托书及委托代理人有效身份证正反面复印件（格式后附）；（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4</w:t>
            </w:r>
            <w:r>
              <w:rPr>
                <w:rFonts w:hint="eastAsia" w:ascii="宋体" w:hAnsi="宋体" w:eastAsia="宋体" w:cs="宋体"/>
                <w:color w:val="000000"/>
                <w:szCs w:val="21"/>
              </w:rPr>
              <w:t>.技术需求偏离表（格式后附）；（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5</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 xml:space="preserve">.人员配置清单（格式自拟）； </w:t>
            </w:r>
          </w:p>
          <w:p>
            <w:pPr>
              <w:spacing w:line="320" w:lineRule="exact"/>
              <w:rPr>
                <w:rFonts w:ascii="宋体" w:hAnsi="宋体" w:eastAsia="宋体" w:cs="宋体"/>
                <w:color w:val="000000"/>
                <w:szCs w:val="21"/>
              </w:rPr>
            </w:pPr>
            <w:r>
              <w:rPr>
                <w:rFonts w:ascii="宋体" w:hAnsi="宋体" w:eastAsia="宋体" w:cs="宋体"/>
                <w:color w:val="000000"/>
                <w:szCs w:val="21"/>
              </w:rPr>
              <w:t>8</w:t>
            </w:r>
            <w:r>
              <w:rPr>
                <w:rFonts w:hint="eastAsia" w:ascii="宋体" w:hAnsi="宋体" w:eastAsia="宋体" w:cs="宋体"/>
                <w:color w:val="000000"/>
                <w:szCs w:val="21"/>
              </w:rPr>
              <w:t>.对应采购需求的商务条款提供的其他文件资料；</w:t>
            </w:r>
          </w:p>
          <w:p>
            <w:pPr>
              <w:spacing w:line="320" w:lineRule="exact"/>
              <w:rPr>
                <w:rFonts w:ascii="宋体" w:hAnsi="宋体" w:eastAsia="宋体" w:cs="宋体"/>
                <w:color w:val="000000"/>
                <w:szCs w:val="21"/>
              </w:rPr>
            </w:pPr>
            <w:r>
              <w:rPr>
                <w:rFonts w:ascii="宋体" w:hAnsi="宋体" w:eastAsia="宋体" w:cs="宋体"/>
                <w:color w:val="000000"/>
                <w:szCs w:val="21"/>
              </w:rPr>
              <w:t>9</w:t>
            </w:r>
            <w:r>
              <w:rPr>
                <w:rFonts w:hint="eastAsia" w:ascii="宋体" w:hAnsi="宋体" w:eastAsia="宋体" w:cs="宋体"/>
                <w:color w:val="000000"/>
                <w:szCs w:val="21"/>
              </w:rPr>
              <w:t>.对应采购需求的技术需求提供的其他文件资料；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响应文件提交起止时间：详见遴选公告。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响应文件提交截止时间：详见遴选公告。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响应文件提交地点：详见遴选公告。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供应商应当在响应文件提交截止时间前，将响应文件密封送达响应文件提交地点。在响应文件提交截止时间后送达的响应文件为无效文件，将被拒收。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评审小组的人数：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响应文件的评审：采购人另行通知。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如出现某供应商不能按时参加磋商的情形，则该供应商的磋商次序往后延，具体由评审小组确定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参与磋商前，供应商法定代表人或委托代理人必须向评审小组出示本人有效证件原件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评审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yellow"/>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文件仅适用于</w:t>
      </w: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val="en-US" w:eastAsia="zh-CN"/>
        </w:rPr>
        <w:t>营养食堂</w:t>
      </w:r>
      <w:r>
        <w:rPr>
          <w:rFonts w:hint="eastAsia" w:ascii="宋体" w:hAnsi="宋体" w:eastAsia="宋体" w:cs="Times New Roman"/>
          <w:color w:val="000000"/>
          <w:szCs w:val="21"/>
        </w:rPr>
        <w:t>肉类、蔬菜类、蛋类等</w:t>
      </w:r>
      <w:r>
        <w:rPr>
          <w:rFonts w:hint="eastAsia" w:ascii="宋体" w:hAnsi="宋体" w:eastAsia="宋体" w:cs="Times New Roman"/>
          <w:color w:val="000000"/>
          <w:szCs w:val="21"/>
          <w:lang w:val="en-US" w:eastAsia="zh-CN"/>
        </w:rPr>
        <w:t>食材</w:t>
      </w:r>
      <w:r>
        <w:rPr>
          <w:rFonts w:hint="eastAsia" w:ascii="宋体" w:hAnsi="宋体" w:eastAsia="宋体" w:cs="Times New Roman"/>
          <w:color w:val="000000"/>
          <w:szCs w:val="21"/>
        </w:rPr>
        <w:t>供应商遴选</w:t>
      </w:r>
      <w:r>
        <w:rPr>
          <w:rFonts w:hint="eastAsia" w:ascii="宋体" w:hAnsi="宋体" w:eastAsia="宋体" w:cs="Times New Roman"/>
          <w:color w:val="000000"/>
          <w:szCs w:val="21"/>
          <w:lang w:val="en-US" w:eastAsia="zh-CN"/>
        </w:rPr>
        <w:t>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公告及</w:t>
      </w:r>
      <w:r>
        <w:rPr>
          <w:rFonts w:hint="eastAsia" w:ascii="宋体" w:hAnsi="宋体" w:eastAsia="宋体" w:cs="Times New Roman"/>
          <w:bCs/>
          <w:color w:val="000000"/>
          <w:szCs w:val="21"/>
        </w:rPr>
        <w:t>遴选</w:t>
      </w:r>
      <w:r>
        <w:rPr>
          <w:rFonts w:ascii="宋体" w:hAnsi="宋体" w:eastAsia="宋体" w:cs="Times New Roman"/>
          <w:bCs/>
          <w:color w:val="000000"/>
          <w:szCs w:val="21"/>
        </w:rPr>
        <w:t>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公告规定的方式获取</w:t>
      </w:r>
      <w:r>
        <w:rPr>
          <w:rFonts w:hint="eastAsia" w:ascii="宋体" w:hAnsi="宋体" w:eastAsia="宋体" w:cs="Times New Roman"/>
          <w:bCs/>
          <w:color w:val="000000"/>
          <w:szCs w:val="21"/>
        </w:rPr>
        <w:t>遴选</w:t>
      </w:r>
      <w:r>
        <w:rPr>
          <w:rFonts w:ascii="宋体" w:hAnsi="宋体" w:eastAsia="宋体" w:cs="Times New Roman"/>
          <w:bCs/>
          <w:color w:val="000000"/>
          <w:szCs w:val="21"/>
        </w:rPr>
        <w:t>文件、提交响应文件并希望</w:t>
      </w:r>
      <w:r>
        <w:rPr>
          <w:rFonts w:hint="eastAsia" w:ascii="宋体" w:hAnsi="宋体" w:eastAsia="宋体" w:cs="Times New Roman"/>
          <w:bCs/>
          <w:color w:val="000000"/>
          <w:szCs w:val="21"/>
        </w:rPr>
        <w:t>入选</w:t>
      </w:r>
      <w:r>
        <w:rPr>
          <w:rFonts w:ascii="宋体" w:hAnsi="宋体" w:eastAsia="宋体" w:cs="Times New Roman"/>
          <w:bCs/>
          <w:color w:val="000000"/>
          <w:szCs w:val="21"/>
        </w:rPr>
        <w:t>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文件要求，编制包含资格证明、报价商务技术等所有内容的</w:t>
      </w:r>
      <w:r>
        <w:rPr>
          <w:rFonts w:hint="eastAsia" w:ascii="宋体" w:hAnsi="宋体" w:eastAsia="宋体" w:cs="Times New Roman"/>
          <w:bCs/>
          <w:color w:val="000000"/>
          <w:szCs w:val="21"/>
        </w:rPr>
        <w:t>竞争性磋商</w:t>
      </w:r>
      <w:r>
        <w:rPr>
          <w:rFonts w:ascii="宋体" w:hAnsi="宋体" w:eastAsia="宋体" w:cs="Times New Roman"/>
          <w:bCs/>
          <w:color w:val="000000"/>
          <w:szCs w:val="21"/>
        </w:rPr>
        <w:t>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二、遴选文件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.遴选文件的构成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（1）遴选公告；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（3）项目需求；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供应商应认真阅读遴选文件的项目需求，如供应商对遴选文件有疑问的，如要求采购人作出澄清或修改的，供应商尽可能在提交响应文件截止之日前，以书面形式向采购人提出。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.遴选文件的澄清和修改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响应文件截止之日前，采购人或者评审小组可以对已发出的遴选文件进行必要的澄清或者修改，澄清或者修改的内容作为遴选文件的组成部分。澄清或者修改的内容可能影响响应文件编制的，采购人或者评审小组在提交响应文件截止之日3个工作日前，以书面形式通知所有获取遴选文件的供应商，不足3个工作日的，应当顺延提交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供应商应当按照遴选文件的要求编制响应文件，并对其提交的响应文件的真实性、合法性承担法律责任。响应文件应当对遴选文件作出实质性响应。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遴选文件已有明确规定的，使用遴选文件规定的计量单位；遴选文件没有规定的，应采用中华人民共和国法定计量单位，货币种类为人民币，否则视同未响应。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供应商没有按照遴选文件要求提供全部资料，或者供应商没有对遴选文件在各方面作出实质性响应可能导致其响应无效，是供应商应当考虑的风险。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.1竞标报价应按遴选文件中“竞标报价表”格式填写。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竞标报价应有单项报价及合计总价，否则其响应文件将作无效处理。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.1供应商应按本遴选文件规定的格式和顺序编制、装订响应文件并标注页码，响应文件内容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响应文件提交截止时间前，可以对所提交的响应文件进行补充、修改或者撤回，并书面通知采购人。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.评审小组成立及响应文件的开启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.1评审小组由采购人组织评审专家共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，由评审</w:t>
      </w:r>
      <w:r>
        <w:rPr>
          <w:rFonts w:hint="eastAsia" w:ascii="宋体" w:hAnsi="宋体" w:eastAsia="宋体" w:cs="Calibri"/>
          <w:color w:val="000000"/>
          <w:szCs w:val="21"/>
        </w:rPr>
        <w:t>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由评审</w:t>
      </w:r>
      <w:r>
        <w:rPr>
          <w:rFonts w:hint="eastAsia" w:ascii="宋体" w:hAnsi="宋体" w:eastAsia="宋体" w:cs="Calibri"/>
          <w:color w:val="000000"/>
          <w:szCs w:val="21"/>
        </w:rPr>
        <w:t>小组通过资格审查的合格供应商的响应文件的竞标报价、商务、技术等实质性要求进行符合性审查，以确定其是否满足遴选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评审小组成员应当按照客观、公正、审慎的原则，根据第四章“评审程序、评审方法和评审标准”进行独立评审。评审小组对响应文件进行评审，未实质性响应竞争性磋商文件的响应文件按无效响应处理，由评审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.2.6通过符合性审查的合格供应商不足3家的，不得进入磋商环节，采购人应当重新开展评审活动。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.2在磋商过程中，评审小组可以根据磋商文件和磋商情况实质性变动采购需求中的技术、服务要求以及合同草案条款，但不得变动磋商文件中的其他内容。可能实质性变动的内容详见“供应商须知前附表”。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.3对遴选文件作出的实质性变动是竞争性磋商文件的有效组成部分，由评审小组及时以书面形式同时通知所有参加磋商的供应商。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遴选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竞争性磋商文件能够详细列明采购标的的技术、服务要求的，磋商结束后，由评审小组要求所有继续参加磋商的供应商在规定时间内密封提交最后报价，提交最后报价的供应商不得少于3家。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评审小组收齐最后报价后统一开启。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最后报价结束后，评审小组不得再与供应商进行任何形式的商谈。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.2经磋商确定最终采购需求和提交最后报价的供应商后，由评审小组采用综合评分法对提交最后报价的供应商的响应文件和最后报价进行综合评分。详见第四章“评审程序、评审方法和评审标准”。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.3评审时，评审小组各成员应当独立对每个有效的响应文件进行评价、打分，然后汇总每个供应商每项评分因素的得分。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（1）评审小组按照竞争性磋商文件中规定的评审标准计算各供应商的报价得分。项目评审过程中，不得去掉最后报价中的最高报价和最低报价。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（2）各供应商的得分为评审小组所有成员的有效评分的算术平均数。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评审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.1采购人应当在评审报告后5个工作日内，从评审报告提出的成交候选供应商中，按照排序由高到低的原则确定成交供应商，也可以书面授权评审小组直接确定成交供应商。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.2在成交供应商确定后2个工作日内，在广西骨伤医院官方网站上公告成交结果，同时向成交供应商发出成交通知书。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评审过程、成交结果提出的质疑成立且影响或者可能影响成交结果的，合格供应商符合法定数量时，可以从合格的成交候选人中另行确定成交供应商的，应当依法另行确定成交供应商；否则应当重新开展评审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.1签订合同时间：按入选通知书规定的时间与采购人签订服务合同。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.2供应商认为遴选文件、采购过程或成交结果使自己的合法权益受到损害的，应当在知道或者应知其权益受到损害之日起七个工作日内，以书面形式向采购人提出质疑，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（1）对可以质疑的遴选文件提出质疑的，为遴选公告期限届满之日；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（2）对评审过程提出质疑的，为各评审程序环节结束之日；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遴选文件、评审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供应商提出质疑应当提交质疑函和必要的证明材料，针对同一评审程序环节的质疑必须在法定质疑期内一次性提出。质疑函应当包括下列内容：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采购人认为供应商质疑不成立，或者成立但未对成交结果构成影响的，继续开展评审活动；认为供应商质疑成立且影响或者可能影响成交结果的，按照下列情况处理：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（1）对遴选文件提出的质疑，依法通过澄清或者修改可以继续开展评审活动的，澄清或者修改遴选文件后继续开展评审活动；否则应当在修改遴选文件后重新开展评审活动。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（2）对评审过程、成交结果提出的质疑，合格供应商符合法定数量时，可以从合格的入选候选人中另行确定成交供应商的，应当依法另行确定成交供应商；否则应当重新开展采购活动。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项目需求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w:t>
      </w:r>
      <w:r>
        <w:rPr>
          <w:rFonts w:hint="eastAsia" w:ascii="宋体" w:hAnsi="宋体" w:eastAsia="宋体" w:cs="Times New Roman"/>
          <w:color w:val="000000"/>
          <w:szCs w:val="21"/>
        </w:rPr>
        <w:t>遴选</w:t>
      </w:r>
      <w:r>
        <w:rPr>
          <w:rFonts w:ascii="宋体" w:hAnsi="宋体" w:eastAsia="宋体" w:cs="Times New Roman"/>
          <w:color w:val="000000"/>
          <w:szCs w:val="21"/>
        </w:rPr>
        <w:t>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一、遴选项目需求一览表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7"/>
        <w:tblW w:w="90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893"/>
        <w:gridCol w:w="72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67" w:type="dxa"/>
            <w:gridSpan w:val="3"/>
            <w:vAlign w:val="center"/>
          </w:tcPr>
          <w:p>
            <w:pPr>
              <w:tabs>
                <w:tab w:val="left" w:pos="180"/>
                <w:tab w:val="left" w:pos="1620"/>
              </w:tabs>
              <w:spacing w:line="440" w:lineRule="exact"/>
              <w:jc w:val="left"/>
              <w:rPr>
                <w:rFonts w:ascii="宋体" w:hAnsi="宋体" w:eastAsia="宋体" w:cs="宋体"/>
                <w:b/>
                <w:bCs/>
                <w:color w:val="000000"/>
                <w:szCs w:val="21"/>
              </w:rPr>
            </w:pPr>
            <w:r>
              <w:rPr>
                <w:rFonts w:hint="eastAsia" w:ascii="宋体" w:hAnsi="宋体" w:eastAsia="宋体" w:cs="宋体"/>
                <w:b/>
                <w:bCs/>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jc w:val="center"/>
        </w:trPr>
        <w:tc>
          <w:tcPr>
            <w:tcW w:w="945" w:type="dxa"/>
            <w:vAlign w:val="center"/>
          </w:tcPr>
          <w:p>
            <w:pPr>
              <w:tabs>
                <w:tab w:val="left" w:pos="180"/>
                <w:tab w:val="left" w:pos="1620"/>
              </w:tabs>
              <w:spacing w:line="440" w:lineRule="exact"/>
              <w:jc w:val="center"/>
              <w:rPr>
                <w:rFonts w:ascii="宋体" w:hAnsi="宋体" w:eastAsia="宋体" w:cs="宋体"/>
                <w:b/>
                <w:bCs/>
                <w:color w:val="000000"/>
                <w:szCs w:val="21"/>
              </w:rPr>
            </w:pPr>
            <w:r>
              <w:rPr>
                <w:rFonts w:hint="eastAsia" w:ascii="宋体" w:hAnsi="宋体" w:eastAsia="宋体" w:cs="宋体"/>
                <w:b/>
                <w:bCs/>
                <w:color w:val="000000"/>
                <w:szCs w:val="21"/>
              </w:rPr>
              <w:t>名 称</w:t>
            </w:r>
          </w:p>
        </w:tc>
        <w:tc>
          <w:tcPr>
            <w:tcW w:w="893" w:type="dxa"/>
            <w:vAlign w:val="center"/>
          </w:tcPr>
          <w:p>
            <w:pPr>
              <w:tabs>
                <w:tab w:val="left" w:pos="180"/>
                <w:tab w:val="left" w:pos="1620"/>
              </w:tabs>
              <w:jc w:val="center"/>
              <w:rPr>
                <w:rFonts w:ascii="宋体" w:hAnsi="宋体" w:eastAsia="宋体" w:cs="宋体"/>
                <w:b/>
                <w:bCs/>
                <w:color w:val="000000"/>
                <w:szCs w:val="21"/>
              </w:rPr>
            </w:pPr>
            <w:r>
              <w:rPr>
                <w:rFonts w:hint="eastAsia" w:ascii="宋体" w:hAnsi="宋体" w:eastAsia="宋体" w:cs="宋体"/>
                <w:b/>
                <w:bCs/>
                <w:color w:val="000000"/>
                <w:szCs w:val="21"/>
              </w:rPr>
              <w:t>数量及单位</w:t>
            </w:r>
          </w:p>
        </w:tc>
        <w:tc>
          <w:tcPr>
            <w:tcW w:w="7229" w:type="dxa"/>
            <w:vAlign w:val="center"/>
          </w:tcPr>
          <w:p>
            <w:pPr>
              <w:tabs>
                <w:tab w:val="left" w:pos="180"/>
                <w:tab w:val="left" w:pos="1620"/>
              </w:tabs>
              <w:spacing w:line="440" w:lineRule="exact"/>
              <w:jc w:val="center"/>
              <w:rPr>
                <w:rFonts w:ascii="宋体" w:hAnsi="宋体" w:eastAsia="宋体" w:cs="宋体"/>
                <w:b/>
                <w:bCs/>
                <w:color w:val="000000"/>
                <w:szCs w:val="21"/>
              </w:rPr>
            </w:pPr>
            <w:r>
              <w:rPr>
                <w:rFonts w:hint="eastAsia" w:ascii="宋体" w:hAnsi="宋体" w:eastAsia="宋体" w:cs="宋体"/>
                <w:b/>
                <w:bCs/>
                <w:color w:val="000000"/>
                <w:szCs w:val="21"/>
              </w:rPr>
              <w:t>技术及服务需求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88" w:hRule="atLeast"/>
          <w:jc w:val="center"/>
        </w:trPr>
        <w:tc>
          <w:tcPr>
            <w:tcW w:w="945" w:type="dxa"/>
            <w:vAlign w:val="center"/>
          </w:tcPr>
          <w:p>
            <w:pPr>
              <w:spacing w:line="320" w:lineRule="exact"/>
              <w:jc w:val="center"/>
              <w:rPr>
                <w:rFonts w:ascii="宋体" w:hAnsi="宋体" w:eastAsia="宋体" w:cs="宋体"/>
                <w:color w:val="000000"/>
                <w:szCs w:val="21"/>
              </w:rPr>
            </w:pP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val="en-US" w:eastAsia="zh-CN"/>
              </w:rPr>
              <w:t>营养食堂</w:t>
            </w:r>
            <w:r>
              <w:rPr>
                <w:rFonts w:hint="eastAsia" w:ascii="宋体" w:hAnsi="宋体" w:eastAsia="宋体" w:cs="Times New Roman"/>
                <w:color w:val="000000"/>
                <w:szCs w:val="21"/>
              </w:rPr>
              <w:t>肉类、蔬菜类、蛋类等</w:t>
            </w:r>
            <w:r>
              <w:rPr>
                <w:rFonts w:hint="eastAsia" w:ascii="宋体" w:hAnsi="宋体" w:eastAsia="宋体" w:cs="Times New Roman"/>
                <w:color w:val="000000"/>
                <w:szCs w:val="21"/>
                <w:lang w:val="en-US" w:eastAsia="zh-CN"/>
              </w:rPr>
              <w:t>食材</w:t>
            </w:r>
            <w:r>
              <w:rPr>
                <w:rFonts w:hint="eastAsia" w:ascii="宋体" w:hAnsi="宋体" w:eastAsia="宋体" w:cs="Times New Roman"/>
                <w:color w:val="000000"/>
                <w:szCs w:val="21"/>
              </w:rPr>
              <w:t>供应商遴选</w:t>
            </w:r>
          </w:p>
        </w:tc>
        <w:tc>
          <w:tcPr>
            <w:tcW w:w="893"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1项</w:t>
            </w:r>
          </w:p>
        </w:tc>
        <w:tc>
          <w:tcPr>
            <w:tcW w:w="7229" w:type="dxa"/>
          </w:tcPr>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一、鲜肉类（猪肉、牛肉、羊肉等）</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一）基本要求：无异味、无酸败味。新鲜肉的肌肉色泽呈鲜红色，有光泽，肥肉部分接近白色，肌肉有弹性且结实，用手指压下，手指的凹陷处可马上恢复，用手背触摸肉质，若有黏手感觉，说明肉没注水。猪肉无牛肉般鲜红。</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（二）羊肉：整羊（去头、去内脏、去蹄），不要公羊，单只重13-15kg。</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猪肺：无淤血、无破损、弹性好。</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二、家禽类</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（一）基本要求：新鲜的家禽肉肌肉色泽呈淡黄红色，肌肉有弹性且结实，无腥臭味、不黏滑、皮肤光滑。骨髓色泽呈鲜红色，变灰、变绿为品质不佳。凡出现肉淤血、骨折、露骨、脱皮等现象拒收货。</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（二）鸡：鸡体内应有小蛋花存在的为合格品，鸡大腿内侧用刀切开后无明显水迹。单只光鸡重为1.15-1.4kg。</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（三）鸭：鸭肉皮色泽略呈肉白色，大腿内侧用刀切开后无明显水迹。单只光鸭重为1.75-2kg。</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hAnsi="宋体" w:cs="Times New Roman"/>
                <w:color w:val="000000"/>
                <w:kern w:val="2"/>
                <w:sz w:val="21"/>
                <w:szCs w:val="21"/>
                <w:lang w:val="en-US" w:eastAsia="zh-CN" w:bidi="ar-SA"/>
              </w:rPr>
              <w:t>（四）</w:t>
            </w:r>
            <w:r>
              <w:rPr>
                <w:rFonts w:hint="eastAsia" w:ascii="宋体" w:hAnsi="宋体" w:eastAsia="宋体" w:cs="Times New Roman"/>
                <w:color w:val="000000"/>
                <w:kern w:val="2"/>
                <w:sz w:val="21"/>
                <w:szCs w:val="21"/>
                <w:lang w:val="en-US" w:eastAsia="zh-CN" w:bidi="ar-SA"/>
              </w:rPr>
              <w:t>冰家禽类（鸡翅、鸡尖</w:t>
            </w:r>
            <w:r>
              <w:rPr>
                <w:rFonts w:hint="eastAsia" w:hAnsi="宋体" w:cs="Times New Roman"/>
                <w:color w:val="000000"/>
                <w:kern w:val="2"/>
                <w:sz w:val="21"/>
                <w:szCs w:val="21"/>
                <w:lang w:val="en-US" w:eastAsia="zh-CN" w:bidi="ar-SA"/>
              </w:rPr>
              <w:t>等</w:t>
            </w:r>
            <w:r>
              <w:rPr>
                <w:rFonts w:hint="eastAsia" w:ascii="宋体" w:hAnsi="宋体" w:eastAsia="宋体" w:cs="Times New Roman"/>
                <w:color w:val="000000"/>
                <w:kern w:val="2"/>
                <w:sz w:val="21"/>
                <w:szCs w:val="21"/>
                <w:lang w:val="en-US" w:eastAsia="zh-CN" w:bidi="ar-SA"/>
              </w:rPr>
              <w:t>）</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原料包装要有“QS”标识。进口原料的外包装要有中文标识。无淤血、色泽光亮、无毛。鸡翅单体重0.1-0.15kg。</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三、河鲜类</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一）鱼类：体表有光泽，鳞片完整、不易脱落，黏液无混浊，肌肉组织致密、有弹性；鳃丝清晰，色鲜红或暗红，无异臭味；眼球饱满，角膜透明或稍有浑浊；肛门紧缩或稍有凸出。感观鉴别：神态—在水中游动自如、反映敏捷。体态—无伤残、无畸形、无病害。体表—鳞片完整无损、表面无异物、无皮下出血现象及红色鱼鳞。劣质品：1、行动迟缓、反肚、慌乱、狂游的鱼表明已接近死亡或已有病害。2、有红色鱼鳞之鱼；显示鱼受缺氧（多因太过拥挤）所损害，它可能只能有较短寿命，须挑出拒收。（塘角鱼单体重0.125-0.15kg、鲶鱼单体重1-1.2kg,体表呈淡黄色，草鱼单体重1.5-2.0kg,禾花鱼大小要均匀。）</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w:t>
            </w:r>
            <w:r>
              <w:rPr>
                <w:rFonts w:hint="eastAsia" w:hAnsi="宋体" w:cs="Times New Roman"/>
                <w:color w:val="000000"/>
                <w:kern w:val="2"/>
                <w:sz w:val="21"/>
                <w:szCs w:val="21"/>
                <w:lang w:val="en-US" w:eastAsia="zh-CN" w:bidi="ar-SA"/>
              </w:rPr>
              <w:t>二</w:t>
            </w:r>
            <w:r>
              <w:rPr>
                <w:rFonts w:hint="eastAsia" w:ascii="宋体" w:hAnsi="宋体" w:eastAsia="宋体" w:cs="Times New Roman"/>
                <w:color w:val="000000"/>
                <w:kern w:val="2"/>
                <w:sz w:val="21"/>
                <w:szCs w:val="21"/>
                <w:lang w:val="en-US" w:eastAsia="zh-CN" w:bidi="ar-SA"/>
              </w:rPr>
              <w:t>）虾类。感官鉴别：个大均匀、活蹦乱跳（或能活动）、无黑头。劣质品：河虾生命力较强，离水后尚能成活一段时间，若虾身弯曲、不能活动或虾身发白，表明已死。河虾不可太大，一般30条一斤，因为河虾头大、肉身小。成活率要达98%以上。</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w:t>
            </w:r>
            <w:r>
              <w:rPr>
                <w:rFonts w:hint="eastAsia" w:hAnsi="宋体" w:cs="Times New Roman"/>
                <w:color w:val="000000"/>
                <w:kern w:val="2"/>
                <w:sz w:val="21"/>
                <w:szCs w:val="21"/>
                <w:lang w:val="en-US" w:eastAsia="zh-CN" w:bidi="ar-SA"/>
              </w:rPr>
              <w:t>三</w:t>
            </w:r>
            <w:r>
              <w:rPr>
                <w:rFonts w:hint="eastAsia" w:ascii="宋体" w:hAnsi="宋体" w:eastAsia="宋体" w:cs="Times New Roman"/>
                <w:color w:val="000000"/>
                <w:kern w:val="2"/>
                <w:sz w:val="21"/>
                <w:szCs w:val="21"/>
                <w:lang w:val="en-US" w:eastAsia="zh-CN" w:bidi="ar-SA"/>
              </w:rPr>
              <w:t>）蟹类：体肥、甲壳色泽正常，腹部洁白，雌蟹有膏时，头胸甲棘尖，反面透黄色，螯及蟹脚有力，单体重0.25-0.35kg。</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w:t>
            </w:r>
            <w:r>
              <w:rPr>
                <w:rFonts w:hint="eastAsia" w:hAnsi="宋体" w:cs="Times New Roman"/>
                <w:color w:val="000000"/>
                <w:kern w:val="2"/>
                <w:sz w:val="21"/>
                <w:szCs w:val="21"/>
                <w:lang w:val="en-US" w:eastAsia="zh-CN" w:bidi="ar-SA"/>
              </w:rPr>
              <w:t>四</w:t>
            </w:r>
            <w:r>
              <w:rPr>
                <w:rFonts w:hint="eastAsia" w:ascii="宋体" w:hAnsi="宋体" w:eastAsia="宋体" w:cs="Times New Roman"/>
                <w:color w:val="000000"/>
                <w:kern w:val="2"/>
                <w:sz w:val="21"/>
                <w:szCs w:val="21"/>
                <w:lang w:val="en-US" w:eastAsia="zh-CN" w:bidi="ar-SA"/>
              </w:rPr>
              <w:t>）贝类：外壳具固有色泽、平时微张口、受惊闭合，斧足与触管伸缩灵活，具固有气味。</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w:t>
            </w:r>
            <w:r>
              <w:rPr>
                <w:rFonts w:hint="eastAsia" w:hAnsi="宋体" w:cs="Times New Roman"/>
                <w:color w:val="000000"/>
                <w:kern w:val="2"/>
                <w:sz w:val="21"/>
                <w:szCs w:val="21"/>
                <w:lang w:val="en-US" w:eastAsia="zh-CN" w:bidi="ar-SA"/>
              </w:rPr>
              <w:t>五</w:t>
            </w:r>
            <w:r>
              <w:rPr>
                <w:rFonts w:hint="eastAsia" w:ascii="宋体" w:hAnsi="宋体" w:eastAsia="宋体" w:cs="Times New Roman"/>
                <w:color w:val="000000"/>
                <w:kern w:val="2"/>
                <w:sz w:val="21"/>
                <w:szCs w:val="21"/>
                <w:lang w:val="en-US" w:eastAsia="zh-CN" w:bidi="ar-SA"/>
              </w:rPr>
              <w:t>）盐渍海产类：主要产品为海蜇、海带类，而海蜇又分为海蜇头（蜇身口腕部加工的成品）和海蜇皮（上身全部加工的成品）。感官鉴别：质地—坚实而韧性，手指甲掐之可破、脆嫩；气味—轻腥气、盐味；色泽—有光泽；清洁度—无污物和泥浆；海带节要小节。</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hAnsi="宋体" w:cs="Times New Roman"/>
                <w:color w:val="000000"/>
                <w:kern w:val="2"/>
                <w:sz w:val="21"/>
                <w:szCs w:val="21"/>
                <w:lang w:val="en-US" w:eastAsia="zh-CN" w:bidi="ar-SA"/>
              </w:rPr>
              <w:t>（六）</w:t>
            </w:r>
            <w:r>
              <w:rPr>
                <w:rFonts w:hint="eastAsia" w:ascii="宋体" w:hAnsi="宋体" w:eastAsia="宋体" w:cs="Times New Roman"/>
                <w:color w:val="000000"/>
                <w:kern w:val="2"/>
                <w:sz w:val="21"/>
                <w:szCs w:val="21"/>
                <w:lang w:val="en-US" w:eastAsia="zh-CN" w:bidi="ar-SA"/>
              </w:rPr>
              <w:t>冰鲜鱼类</w:t>
            </w:r>
            <w:r>
              <w:rPr>
                <w:rFonts w:hint="eastAsia" w:hAnsi="宋体" w:cs="Times New Roman"/>
                <w:color w:val="000000"/>
                <w:kern w:val="2"/>
                <w:sz w:val="21"/>
                <w:szCs w:val="21"/>
                <w:lang w:val="en-US" w:eastAsia="zh-CN" w:bidi="ar-SA"/>
              </w:rPr>
              <w:t>：</w:t>
            </w:r>
            <w:r>
              <w:rPr>
                <w:rFonts w:hint="eastAsia" w:ascii="宋体" w:hAnsi="宋体" w:eastAsia="宋体" w:cs="Times New Roman"/>
                <w:color w:val="000000"/>
                <w:kern w:val="2"/>
                <w:sz w:val="21"/>
                <w:szCs w:val="21"/>
                <w:lang w:val="en-US" w:eastAsia="zh-CN" w:bidi="ar-SA"/>
              </w:rPr>
              <w:t>基本要求：冰鲜鱼是指已死但还新鲜，并以碎冰或冰水来保持其鲜度的鱼。感官鉴别：皮肤—类金属、光泽哑色的表面显示其已不新鲜；眼睛—饱满明亮、清晰且完整、瞳孔黑、角膜清澈；鳃—鲜红色或血红色、含粘液且没有粘泥；肛门—内收或平整，不突出，不破肛；体外粘液—透明或水白；肉质—坚实且富有弹性，轻按下鱼肉后，手指的凹陷处可马上恢复；气味—温和的海水味或鲜海藻味，无氯味腐臭味；体表鱼鳞完整、无破损。（鱿鱼：手感结实，肉身质厚。带鱼：规格为中带或大带。金丝鱼：单体重0.15—0.2kg。沙展鱼：大小要均匀，1市斤约10-15条。）劣质品：鱼体出现破肛现象，大多是自行分解所致而非机性损伤。原料包装要有“QS”标识。进口原料的外包装要有中文标识。</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hAnsi="宋体" w:cs="Times New Roman"/>
                <w:color w:val="000000"/>
                <w:kern w:val="2"/>
                <w:sz w:val="21"/>
                <w:szCs w:val="21"/>
                <w:lang w:val="en-US" w:eastAsia="zh-CN" w:bidi="ar-SA"/>
              </w:rPr>
              <w:t>四、</w:t>
            </w:r>
            <w:r>
              <w:rPr>
                <w:rFonts w:hint="eastAsia" w:ascii="宋体" w:hAnsi="宋体" w:eastAsia="宋体" w:cs="Times New Roman"/>
                <w:color w:val="000000"/>
                <w:kern w:val="2"/>
                <w:sz w:val="21"/>
                <w:szCs w:val="21"/>
                <w:lang w:val="en-US" w:eastAsia="zh-CN" w:bidi="ar-SA"/>
              </w:rPr>
              <w:t>蔬菜类</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各种蔬菜都具有本品种固有的颜色，有光泽，显示蔬菜的成熟度及鲜嫩程度；多数蔬菜具有清香、甘辛香、甜酸香等气味，不应有腐败味和其他异味；多数蔬菜滋味甘淡、甜酸、清爽鲜美，少数具有辛酸、苦涩的特殊味道；多数蔬菜具有新鲜的状态，如蔫萎、干枯、损伤、变色、病变、虫害侵蚀等，则为异常形态，还有的蔬菜人为地使用了激素物质会长成畸形。</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1.根茎类：茎部不老化，个体均匀，外表圆滑，未发芽、变色。不良品质：叶子发黄、变软、长芽、损伤、出水。</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1.1莲藕：无泥、无伤、无水印。用刀切开后腹部无泥、无异味。</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1.2莴笋：留叶不超过四层，表皮无腐烂，体直。</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1.3洋葱：无老皮层，手指压有结实感。</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1.4白萝卜：个体均匀，无黑心、空心；单体重0.4kg以上。</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1.5芋头：表皮无凹凸、无泥块、泥浆；切开后肉质密实，无虫害，无腐败；单体重0.75-1.5kg。</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1.6土豆：单体重0.25-0.4kg。</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1.7竹笋：体型为圆锥状，颜色为白色为佳，单棵重4kg以上。</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1.8西芹：体型大为佳，单棵重1kg以上。</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2.叶菜类：色泽鲜亮，切口不变色，叶片挺而不干枯、不发黄；质地脆嫩、坚挺。球形叶菜坚实、无老邦。不良品质：叶黄、水伤腐烂、有泥土、有虫及虫眼。</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3.花果类：允许果形有轻微缺点，但不得变形、过熟。不良品质：变色、变软、擦伤、枯萎。</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3.1青瓜：体型略直，无异型，表皮无擦伤。</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3.2节瓜：表皮无擦伤，个体均匀，无空心，手掂有重量感。</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4.菇菌类：外形饱满，个体均匀，无异味，不发霉、变黑。</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hAnsi="宋体" w:cs="Times New Roman"/>
                <w:color w:val="000000"/>
                <w:kern w:val="2"/>
                <w:sz w:val="21"/>
                <w:szCs w:val="21"/>
                <w:lang w:val="en-US" w:eastAsia="zh-CN" w:bidi="ar-SA"/>
              </w:rPr>
              <w:t>五</w:t>
            </w:r>
            <w:r>
              <w:rPr>
                <w:rFonts w:hint="eastAsia" w:ascii="宋体" w:hAnsi="宋体" w:eastAsia="宋体" w:cs="Times New Roman"/>
                <w:color w:val="000000"/>
                <w:kern w:val="2"/>
                <w:sz w:val="21"/>
                <w:szCs w:val="21"/>
                <w:lang w:val="en-US" w:eastAsia="zh-CN" w:bidi="ar-SA"/>
              </w:rPr>
              <w:t>、蛋类：</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（一）鲜蛋：正常鲜蛋的蛋壳应清洁完整，无裂纹，灯光透视呈微红色，气室小，看不见蛋黄或略见阴影于中心。打开后蛋黄膜不破裂、凸起、完整并带有韧性，蛋黄蛋白分明，颜色鲜艳。</w:t>
            </w:r>
          </w:p>
          <w:p>
            <w:pPr>
              <w:pStyle w:val="3"/>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宋体" w:hAnsi="宋体" w:eastAsia="宋体" w:cs="Times New Roman"/>
                <w:color w:val="000000"/>
                <w:szCs w:val="21"/>
                <w:lang w:val="en-US" w:eastAsia="zh-CN"/>
              </w:rPr>
            </w:pPr>
            <w:r>
              <w:rPr>
                <w:rFonts w:hint="eastAsia" w:ascii="宋体" w:hAnsi="宋体" w:eastAsia="宋体" w:cs="Times New Roman"/>
                <w:color w:val="000000"/>
                <w:kern w:val="2"/>
                <w:sz w:val="21"/>
                <w:szCs w:val="21"/>
                <w:lang w:val="en-US" w:eastAsia="zh-CN" w:bidi="ar-SA"/>
              </w:rPr>
              <w:t>（二）皮蛋（松花蛋）：蛋壳完整，涂料均匀。手振摇时无响声及活动感，有弹性。剥壳后，蛋白为茶色胶冻状，蛋白表面常有松针状的结晶或花纹似松花，蛋黄分为黑绿、土黄、灰绿、橙黄等彩色层。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67"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Times New Roman"/>
                <w:color w:val="000000"/>
                <w:szCs w:val="21"/>
                <w:lang w:val="en-US" w:eastAsia="zh-CN"/>
              </w:rPr>
              <w:t>投标人以南宁市淡村农贸市场的</w:t>
            </w:r>
            <w:r>
              <w:rPr>
                <w:rFonts w:hint="eastAsia" w:ascii="宋体" w:hAnsi="宋体" w:eastAsia="宋体" w:cs="Times New Roman"/>
                <w:color w:val="000000"/>
                <w:szCs w:val="21"/>
              </w:rPr>
              <w:t>肉类、蛋类</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rPr>
              <w:t>蔬菜类等</w:t>
            </w:r>
            <w:r>
              <w:rPr>
                <w:rFonts w:hint="eastAsia" w:ascii="宋体" w:hAnsi="宋体" w:eastAsia="宋体" w:cs="Times New Roman"/>
                <w:color w:val="000000"/>
                <w:szCs w:val="21"/>
                <w:lang w:val="en-US" w:eastAsia="zh-CN"/>
              </w:rPr>
              <w:t>食材价格为基准价，基准价下浮的百分比参与磋商评分。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宋体" w:hAnsi="宋体" w:eastAsia="宋体" w:cs="宋体"/>
                <w:bCs/>
                <w:szCs w:val="21"/>
              </w:rPr>
              <w:t>质量要求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rPr>
              <w:t>1.</w:t>
            </w:r>
            <w:r>
              <w:rPr>
                <w:rFonts w:hint="eastAsia" w:ascii="宋体" w:hAnsi="宋体" w:eastAsia="宋体" w:cs="宋体"/>
                <w:bCs/>
                <w:szCs w:val="21"/>
                <w:lang w:val="en-US" w:eastAsia="zh-CN"/>
              </w:rPr>
              <w:t>投标人</w:t>
            </w:r>
            <w:r>
              <w:rPr>
                <w:rFonts w:hint="eastAsia" w:ascii="宋体" w:hAnsi="宋体" w:eastAsia="宋体" w:cs="宋体"/>
                <w:bCs/>
                <w:szCs w:val="21"/>
              </w:rPr>
              <w:t>所提供的货物质量等级、规格、数量一致，</w:t>
            </w:r>
            <w:r>
              <w:rPr>
                <w:rFonts w:hint="eastAsia" w:ascii="宋体" w:hAnsi="宋体" w:eastAsia="宋体" w:cs="宋体"/>
                <w:bCs/>
                <w:szCs w:val="21"/>
                <w:lang w:val="en-US" w:eastAsia="zh-CN"/>
              </w:rPr>
              <w:t>投标人</w:t>
            </w:r>
            <w:r>
              <w:rPr>
                <w:rFonts w:hint="eastAsia" w:ascii="宋体" w:hAnsi="宋体" w:eastAsia="宋体" w:cs="宋体"/>
                <w:bCs/>
                <w:szCs w:val="21"/>
              </w:rPr>
              <w:t>提供的货物符合GB2707-2005《鲜（冻）畜肉卫生标准》等相关国家标准，进口产品有完整的检验检疫审批文件和卫生证书。</w:t>
            </w:r>
          </w:p>
          <w:p>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rPr>
              <w:t>2.</w:t>
            </w:r>
            <w:r>
              <w:rPr>
                <w:rFonts w:hint="eastAsia" w:ascii="宋体" w:hAnsi="宋体" w:eastAsia="宋体" w:cs="宋体"/>
                <w:bCs/>
                <w:szCs w:val="21"/>
                <w:lang w:val="en-US" w:eastAsia="zh-CN"/>
              </w:rPr>
              <w:t>投标人</w:t>
            </w:r>
            <w:r>
              <w:rPr>
                <w:rFonts w:hint="eastAsia" w:ascii="宋体" w:hAnsi="宋体" w:eastAsia="宋体" w:cs="宋体"/>
                <w:bCs/>
                <w:szCs w:val="21"/>
              </w:rPr>
              <w:t>配送的主副食品必须符合国家食品卫生安全有关规定，属国家强制认证的产品必须加印“SC”标志。</w:t>
            </w:r>
          </w:p>
          <w:p>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rPr>
              <w:t>3.</w:t>
            </w:r>
            <w:r>
              <w:rPr>
                <w:rFonts w:hint="eastAsia" w:ascii="宋体" w:hAnsi="宋体" w:eastAsia="宋体" w:cs="宋体"/>
                <w:bCs/>
                <w:szCs w:val="21"/>
                <w:lang w:val="en-US" w:eastAsia="zh-CN"/>
              </w:rPr>
              <w:t>投标人</w:t>
            </w:r>
            <w:r>
              <w:rPr>
                <w:rFonts w:hint="eastAsia" w:ascii="宋体" w:hAnsi="宋体" w:eastAsia="宋体" w:cs="宋体"/>
                <w:bCs/>
                <w:szCs w:val="21"/>
              </w:rPr>
              <w:t>所提供的货物必须来源可靠，采购渠道正规，禁止不合格货物的流入。</w:t>
            </w:r>
          </w:p>
          <w:p>
            <w:pPr>
              <w:adjustRightInd w:val="0"/>
              <w:snapToGrid w:val="0"/>
              <w:spacing w:line="360" w:lineRule="exact"/>
              <w:jc w:val="left"/>
              <w:outlineLvl w:val="0"/>
              <w:rPr>
                <w:rFonts w:ascii="宋体" w:hAnsi="宋体" w:eastAsia="宋体" w:cs="Times New Roman"/>
                <w:color w:val="000000"/>
                <w:szCs w:val="21"/>
              </w:rPr>
            </w:pPr>
            <w:r>
              <w:rPr>
                <w:rFonts w:hint="eastAsia" w:ascii="宋体" w:hAnsi="宋体" w:eastAsia="宋体" w:cs="宋体"/>
                <w:bCs/>
                <w:szCs w:val="21"/>
              </w:rPr>
              <w:t>4.配送生鲜类食品必须实物留样，并经公司质检中心安全检测，配送时提供检测报告。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包装运输要求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1.乙方应在货物发运前进行满足运输、装卸等要求的包装，以保证安全运抵项目地点。货物的包装完整，包装材料清洁、无毒、无害。</w:t>
            </w:r>
          </w:p>
          <w:p>
            <w:p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2.预包装货物：包装标签必须有货物名称、质量等级、质量标准编号、生产日期、产品保质期、厂名、厂址等内容，保质期必须在1/3以上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责任义务</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1.入选单位应严格遵守《食品卫生法》和《动物检疫法》等相关规定，一经发现供应以下情况，除全部退货外，将取消供货单位的供货资格，供货单位承担由此造成的经济责任和法律责任；</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2.腐败变质、油脂酸败、霉变、生虫、污秽不洁、混有异物或者其他感官性状异常，对人体健康有害的；</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 xml:space="preserve">3.含有毒、有害物质或者被有害物质污染，对人体健康有害的；    </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 xml:space="preserve">4.含有致病性寄生虫、微生物或者微生物含量超过国家限定标准的；    </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 xml:space="preserve">5.未经动物检疫部门检疫、检验或者检疫、检验不合格的肉类及其制品；    </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 xml:space="preserve">6.病死、毒死或者死因不明的禽、蓄、兽、水产动物等及其制品；    </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 xml:space="preserve">7.掺假、掺杂、伪造，影响营养、卫生的；     </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 xml:space="preserve">8.用非食品原料加工的，加入非食品用化学物质或者将非食品当作食品的；   </w:t>
            </w:r>
          </w:p>
          <w:p>
            <w:pPr>
              <w:adjustRightInd w:val="0"/>
              <w:snapToGrid w:val="0"/>
              <w:spacing w:line="360" w:lineRule="exact"/>
              <w:jc w:val="left"/>
              <w:outlineLvl w:val="0"/>
              <w:rPr>
                <w:rFonts w:hint="eastAsia" w:ascii="宋体" w:hAnsi="宋体" w:eastAsia="宋体" w:cs="Times New Roman"/>
                <w:color w:val="000000"/>
                <w:szCs w:val="21"/>
                <w:lang w:val="en-US" w:eastAsia="zh-CN"/>
              </w:rPr>
            </w:pPr>
            <w:r>
              <w:rPr>
                <w:rFonts w:hint="eastAsia" w:ascii="宋体" w:hAnsi="宋体" w:eastAsia="宋体" w:cs="宋体"/>
                <w:bCs/>
                <w:szCs w:val="21"/>
                <w:lang w:val="en-US" w:eastAsia="zh-CN"/>
              </w:rPr>
              <w:t>9.超过保质期限的等。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rPr>
              <w:t>售后服务</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numPr>
                <w:ilvl w:val="0"/>
                <w:numId w:val="1"/>
              </w:numPr>
              <w:spacing w:line="320" w:lineRule="exact"/>
              <w:jc w:val="left"/>
              <w:rPr>
                <w:rFonts w:hint="eastAsia" w:ascii="宋体" w:hAnsi="宋体" w:eastAsia="宋体" w:cs="Times New Roman"/>
                <w:bCs/>
                <w:szCs w:val="21"/>
              </w:rPr>
            </w:pPr>
            <w:r>
              <w:rPr>
                <w:rFonts w:hint="eastAsia" w:ascii="宋体" w:hAnsi="宋体" w:eastAsia="宋体" w:cs="Times New Roman"/>
                <w:bCs/>
                <w:szCs w:val="21"/>
              </w:rPr>
              <w:t>供货方无论质量缺陷属采购方还是供应责任，在接到采购方通知后均应在12小时内响应并替换完毕；若供货方委派他方替换处理，其所发生的一切费用及其他不利后果均供货方承担。</w:t>
            </w:r>
          </w:p>
          <w:p>
            <w:pPr>
              <w:numPr>
                <w:ilvl w:val="0"/>
                <w:numId w:val="1"/>
              </w:numPr>
              <w:spacing w:line="32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投标人需提供售后服务方案及应急预案。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付款方式：按</w:t>
            </w:r>
            <w:r>
              <w:rPr>
                <w:rFonts w:hint="eastAsia" w:ascii="宋体" w:hAnsi="宋体" w:eastAsia="宋体" w:cs="Times New Roman"/>
                <w:bCs/>
                <w:szCs w:val="21"/>
                <w:lang w:val="en-US" w:eastAsia="zh-CN"/>
              </w:rPr>
              <w:t>月</w:t>
            </w:r>
            <w:r>
              <w:rPr>
                <w:rFonts w:hint="eastAsia" w:ascii="宋体" w:hAnsi="宋体" w:eastAsia="宋体" w:cs="Times New Roman"/>
                <w:bCs/>
                <w:szCs w:val="21"/>
              </w:rPr>
              <w:t>结算费用，</w:t>
            </w:r>
            <w:r>
              <w:rPr>
                <w:rFonts w:hint="eastAsia" w:ascii="宋体" w:hAnsi="宋体" w:eastAsia="宋体" w:cs="Times New Roman"/>
                <w:bCs/>
                <w:szCs w:val="21"/>
                <w:lang w:val="en-US" w:eastAsia="zh-CN"/>
              </w:rPr>
              <w:t>每月物资的数量和质量经核实无异议</w:t>
            </w:r>
            <w:r>
              <w:rPr>
                <w:rFonts w:hint="eastAsia" w:ascii="宋体" w:hAnsi="宋体" w:eastAsia="宋体" w:cs="Times New Roman"/>
                <w:bCs/>
                <w:szCs w:val="21"/>
              </w:rPr>
              <w:t>后，</w:t>
            </w:r>
            <w:r>
              <w:rPr>
                <w:rFonts w:hint="eastAsia" w:ascii="宋体" w:hAnsi="宋体" w:eastAsia="宋体" w:cs="Times New Roman"/>
                <w:bCs/>
                <w:szCs w:val="21"/>
                <w:lang w:val="en-US" w:eastAsia="zh-CN"/>
              </w:rPr>
              <w:t>供应商</w:t>
            </w:r>
            <w:r>
              <w:rPr>
                <w:rFonts w:hint="eastAsia" w:ascii="宋体" w:hAnsi="宋体" w:eastAsia="宋体" w:cs="Times New Roman"/>
                <w:bCs/>
                <w:szCs w:val="21"/>
              </w:rPr>
              <w:t>应在30日内开具</w:t>
            </w:r>
            <w:r>
              <w:rPr>
                <w:rFonts w:hint="eastAsia" w:ascii="宋体" w:hAnsi="宋体" w:eastAsia="宋体" w:cs="Times New Roman"/>
                <w:bCs/>
                <w:szCs w:val="21"/>
                <w:lang w:val="en-US" w:eastAsia="zh-CN"/>
              </w:rPr>
              <w:t>上月清单的</w:t>
            </w:r>
            <w:r>
              <w:rPr>
                <w:rFonts w:hint="eastAsia" w:ascii="宋体" w:hAnsi="宋体" w:eastAsia="宋体" w:cs="Times New Roman"/>
                <w:bCs/>
                <w:szCs w:val="21"/>
              </w:rPr>
              <w:t>发票给采购人</w:t>
            </w:r>
            <w:r>
              <w:rPr>
                <w:rFonts w:hint="eastAsia" w:ascii="宋体" w:hAnsi="宋体" w:eastAsia="宋体" w:cs="Times New Roman"/>
                <w:bCs/>
                <w:szCs w:val="21"/>
                <w:lang w:eastAsia="zh-CN"/>
              </w:rPr>
              <w:t>，</w:t>
            </w:r>
            <w:r>
              <w:rPr>
                <w:rFonts w:hint="eastAsia" w:ascii="宋体" w:hAnsi="宋体" w:eastAsia="宋体" w:cs="Times New Roman"/>
                <w:bCs/>
                <w:szCs w:val="21"/>
                <w:lang w:val="en-US" w:eastAsia="zh-CN"/>
              </w:rPr>
              <w:t>采购人核实无误后</w:t>
            </w:r>
            <w:r>
              <w:rPr>
                <w:rFonts w:hint="eastAsia" w:ascii="宋体" w:hAnsi="宋体" w:eastAsia="宋体" w:cs="Times New Roman"/>
                <w:bCs/>
                <w:szCs w:val="21"/>
                <w:lang w:eastAsia="zh-CN"/>
              </w:rPr>
              <w:t>，</w:t>
            </w:r>
            <w:r>
              <w:rPr>
                <w:rFonts w:hint="eastAsia" w:ascii="宋体" w:hAnsi="宋体" w:eastAsia="宋体" w:cs="Times New Roman"/>
                <w:bCs/>
                <w:szCs w:val="21"/>
              </w:rPr>
              <w:t>采购人在7个工作日内</w:t>
            </w:r>
            <w:r>
              <w:rPr>
                <w:rFonts w:hint="eastAsia" w:ascii="宋体" w:hAnsi="宋体" w:eastAsia="宋体" w:cs="Times New Roman"/>
                <w:bCs/>
                <w:szCs w:val="21"/>
                <w:lang w:val="en-US" w:eastAsia="zh-CN"/>
              </w:rPr>
              <w:t>支付发票金额的100%</w:t>
            </w:r>
            <w:r>
              <w:rPr>
                <w:rFonts w:hint="eastAsia" w:ascii="宋体" w:hAnsi="宋体" w:eastAsia="宋体" w:cs="Times New Roman"/>
                <w:bCs/>
                <w:szCs w:val="21"/>
              </w:rPr>
              <w:t>。</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1.评审小组由采购人组织评审专家共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.1响应文件开启后，评审小组依法对供应商的资格证明文件进行审查。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.1由评审小组对通过资格审查的合格供应商的响应文件的竞标报价、商务、技术等实质性要求进行符合性审查，以确定其是否满足竞争性磋商文件的实质性要求。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）响应文件中的文件资料因填写不齐全或者内容虚假或者出现其他情形而导致被评审小组认定无效的；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）虚假竞标，或者出现其他情形而导致被评审小组认定无效的；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）竞标技术方案不明确，遴选文件未允许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.6评审小组对响应文件进行评审，未实质性响应遴选文件的响应文件按无效处理，由评审小组告知有关供应商。评审小组从符合遴选文件规定的相应资格条件的供应商名单中确定不少于3家的供应商参加磋商。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评审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.对竞争性磋商文件作出的实质性变动是竞争性磋商文件的有效组成部分，由评审小组及时以书面形式同时通知所有参加磋商的供应商。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.竞争性磋商文件能够详细列明采购标的的技术、服务要求的，磋商结束后，由评审小组要求所有继续参加磋商的供应商在规定时间内密封提交最后报价，提交最后报价的供应商不得少于3家。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.评审小组收齐最后报价后统一开启，评审小组对最后报价进行有效性、完整性和响应程度的审查。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.最后报价结束后，评审小组不得再与供应商进行任何形式的商谈。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.经磋商确定最终采购需求和提交最后报价的供应商后，由评审小组采用综合评分法对提交最后报价的供应商的响应文件和最后报价进行综合评分。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.评审时，评审小组各成员应当独立对每个有效响应的文件进行评价、打分，然后汇总每个供应商每项评分因素的得分。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（1）评审小组按照竞争性磋商文件中规定的评审标准计算各供应商的报价得分。项目评审过程中，不得去掉最后报价中的最高报价和最低报价。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（2）各供应商的得分为评审小组所有成员的有效评分的算术平均数。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评审依据：评审小组将以磋商响应文件为评审依据，对供应商的</w:t>
      </w:r>
      <w:r>
        <w:rPr>
          <w:rFonts w:hint="eastAsia" w:ascii="宋体" w:hAnsi="宋体" w:eastAsia="宋体" w:cs="Times New Roman"/>
          <w:color w:val="000000"/>
          <w:szCs w:val="21"/>
        </w:rPr>
        <w:t>报价、</w:t>
      </w:r>
      <w:r>
        <w:rPr>
          <w:rFonts w:hint="eastAsia" w:ascii="宋体" w:hAnsi="宋体" w:eastAsia="宋体" w:cs="Times New Roman"/>
          <w:color w:val="000000"/>
          <w:szCs w:val="21"/>
          <w:lang w:val="en-US" w:eastAsia="zh-CN"/>
        </w:rPr>
        <w:t>售后</w:t>
      </w:r>
      <w:r>
        <w:rPr>
          <w:rFonts w:hint="eastAsia" w:ascii="宋体" w:hAnsi="宋体" w:eastAsia="宋体" w:cs="Times New Roman"/>
          <w:color w:val="000000"/>
          <w:szCs w:val="21"/>
        </w:rPr>
        <w:t>服务</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综合实力</w:t>
      </w:r>
      <w:r>
        <w:rPr>
          <w:rFonts w:hint="eastAsia" w:ascii="宋体" w:hAnsi="宋体" w:eastAsia="宋体" w:cs="Times New Roman"/>
          <w:color w:val="000000"/>
          <w:szCs w:val="21"/>
        </w:rPr>
        <w:t>等方面内容按百分制打分</w:t>
      </w:r>
      <w:r>
        <w:rPr>
          <w:rFonts w:hint="eastAsia" w:ascii="宋体" w:hAnsi="宋体" w:eastAsia="宋体" w:cs="Times New Roman"/>
          <w:bCs/>
          <w:color w:val="000000"/>
          <w:szCs w:val="21"/>
        </w:rPr>
        <w:t>。（计分方法按四舍五入取至百分位）</w:t>
      </w:r>
    </w:p>
    <w:p>
      <w:pPr>
        <w:ind w:firstLine="420" w:firstLineChars="200"/>
        <w:jc w:val="left"/>
        <w:rPr>
          <w:rFonts w:ascii="宋体" w:hAnsi="宋体" w:eastAsia="宋体"/>
          <w:szCs w:val="21"/>
        </w:rPr>
      </w:pPr>
    </w:p>
    <w:tbl>
      <w:tblPr>
        <w:tblStyle w:val="7"/>
        <w:tblW w:w="8637" w:type="dxa"/>
        <w:tblInd w:w="93" w:type="dxa"/>
        <w:tblLayout w:type="fixed"/>
        <w:tblCellMar>
          <w:top w:w="0" w:type="dxa"/>
          <w:left w:w="108" w:type="dxa"/>
          <w:bottom w:w="0" w:type="dxa"/>
          <w:right w:w="108" w:type="dxa"/>
        </w:tblCellMar>
      </w:tblPr>
      <w:tblGrid>
        <w:gridCol w:w="1173"/>
        <w:gridCol w:w="930"/>
        <w:gridCol w:w="6534"/>
      </w:tblGrid>
      <w:tr>
        <w:tblPrEx>
          <w:tblCellMar>
            <w:top w:w="0" w:type="dxa"/>
            <w:left w:w="108" w:type="dxa"/>
            <w:bottom w:w="0" w:type="dxa"/>
            <w:right w:w="108" w:type="dxa"/>
          </w:tblCellMar>
        </w:tblPrEx>
        <w:trPr>
          <w:trHeight w:val="588" w:hRule="atLeast"/>
        </w:trPr>
        <w:tc>
          <w:tcPr>
            <w:tcW w:w="1173" w:type="dxa"/>
            <w:tcBorders>
              <w:top w:val="single" w:color="000000" w:sz="8" w:space="0"/>
              <w:left w:val="single" w:color="000000" w:sz="8" w:space="0"/>
              <w:bottom w:val="single" w:color="000000" w:sz="8" w:space="0"/>
              <w:right w:val="single" w:color="000000" w:sz="8" w:space="0"/>
            </w:tcBorders>
            <w:shd w:val="clear" w:color="auto" w:fill="auto"/>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评分项目</w:t>
            </w:r>
          </w:p>
        </w:tc>
        <w:tc>
          <w:tcPr>
            <w:tcW w:w="930" w:type="dxa"/>
            <w:tcBorders>
              <w:top w:val="single" w:color="000000" w:sz="8" w:space="0"/>
              <w:left w:val="single" w:color="000000" w:sz="8" w:space="0"/>
              <w:bottom w:val="single" w:color="000000" w:sz="8" w:space="0"/>
              <w:right w:val="single" w:color="000000" w:sz="8" w:space="0"/>
            </w:tcBorders>
            <w:shd w:val="clear" w:color="auto" w:fill="auto"/>
            <w:noWrap/>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评分项</w:t>
            </w:r>
          </w:p>
        </w:tc>
        <w:tc>
          <w:tcPr>
            <w:tcW w:w="6534" w:type="dxa"/>
            <w:tcBorders>
              <w:top w:val="single" w:color="000000" w:sz="8" w:space="0"/>
              <w:left w:val="single" w:color="000000" w:sz="8" w:space="0"/>
              <w:bottom w:val="single" w:color="000000" w:sz="8" w:space="0"/>
              <w:right w:val="single" w:color="000000" w:sz="8" w:space="0"/>
            </w:tcBorders>
            <w:shd w:val="clear" w:color="auto" w:fill="auto"/>
            <w:noWrap/>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评分标准</w:t>
            </w:r>
          </w:p>
        </w:tc>
      </w:tr>
      <w:tr>
        <w:tblPrEx>
          <w:tblCellMar>
            <w:top w:w="0" w:type="dxa"/>
            <w:left w:w="108" w:type="dxa"/>
            <w:bottom w:w="0" w:type="dxa"/>
            <w:right w:w="108" w:type="dxa"/>
          </w:tblCellMar>
        </w:tblPrEx>
        <w:trPr>
          <w:trHeight w:val="90" w:hRule="atLeast"/>
        </w:trPr>
        <w:tc>
          <w:tcPr>
            <w:tcW w:w="1173" w:type="dxa"/>
            <w:tcBorders>
              <w:top w:val="single" w:color="000000" w:sz="8" w:space="0"/>
              <w:left w:val="single" w:color="000000" w:sz="8" w:space="0"/>
              <w:bottom w:val="single" w:color="auto" w:sz="4" w:space="0"/>
              <w:right w:val="single" w:color="000000" w:sz="8" w:space="0"/>
            </w:tcBorders>
            <w:shd w:val="clear" w:color="auto" w:fill="auto"/>
            <w:vAlign w:val="center"/>
          </w:tcPr>
          <w:p>
            <w:pPr>
              <w:spacing w:line="40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价格分</w:t>
            </w:r>
            <w:r>
              <w:rPr>
                <w:rFonts w:hint="eastAsia" w:ascii="宋体" w:hAnsi="宋体" w:eastAsia="宋体" w:cs="Calibri"/>
                <w:color w:val="000000"/>
                <w:szCs w:val="21"/>
              </w:rPr>
              <w:t>（</w:t>
            </w:r>
            <w:r>
              <w:rPr>
                <w:rFonts w:hint="eastAsia" w:ascii="宋体" w:hAnsi="宋体" w:eastAsia="宋体" w:cs="Calibri"/>
                <w:color w:val="000000"/>
                <w:szCs w:val="21"/>
                <w:lang w:val="en-US" w:eastAsia="zh-CN"/>
              </w:rPr>
              <w:t>40</w:t>
            </w:r>
            <w:r>
              <w:rPr>
                <w:rFonts w:hint="eastAsia" w:ascii="宋体" w:hAnsi="宋体" w:eastAsia="宋体" w:cs="Calibri"/>
                <w:color w:val="000000"/>
                <w:szCs w:val="21"/>
              </w:rPr>
              <w:t xml:space="preserve"> 分）</w:t>
            </w:r>
          </w:p>
        </w:tc>
        <w:tc>
          <w:tcPr>
            <w:tcW w:w="930" w:type="dxa"/>
            <w:tcBorders>
              <w:top w:val="single" w:color="000000" w:sz="8" w:space="0"/>
              <w:left w:val="single" w:color="000000" w:sz="8" w:space="0"/>
              <w:bottom w:val="single" w:color="auto" w:sz="4" w:space="0"/>
              <w:right w:val="single" w:color="000000" w:sz="8" w:space="0"/>
            </w:tcBorders>
            <w:shd w:val="clear" w:color="auto" w:fill="auto"/>
            <w:vAlign w:val="center"/>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lang w:val="en-US" w:eastAsia="zh-CN"/>
              </w:rPr>
              <w:t>价格分</w:t>
            </w:r>
            <w:r>
              <w:rPr>
                <w:rFonts w:hint="eastAsia" w:ascii="宋体" w:hAnsi="宋体" w:eastAsia="宋体" w:cs="Calibri"/>
                <w:color w:val="000000"/>
                <w:szCs w:val="21"/>
              </w:rPr>
              <w:t>（</w:t>
            </w:r>
            <w:r>
              <w:rPr>
                <w:rFonts w:hint="eastAsia" w:ascii="宋体" w:hAnsi="宋体" w:eastAsia="宋体" w:cs="Calibri"/>
                <w:color w:val="000000"/>
                <w:szCs w:val="21"/>
                <w:lang w:val="en-US" w:eastAsia="zh-CN"/>
              </w:rPr>
              <w:t>40</w:t>
            </w:r>
            <w:r>
              <w:rPr>
                <w:rFonts w:hint="eastAsia" w:ascii="宋体" w:hAnsi="宋体" w:eastAsia="宋体" w:cs="Calibri"/>
                <w:color w:val="000000"/>
                <w:szCs w:val="21"/>
              </w:rPr>
              <w:t xml:space="preserve"> 分）</w:t>
            </w:r>
          </w:p>
        </w:tc>
        <w:tc>
          <w:tcPr>
            <w:tcW w:w="6534" w:type="dxa"/>
            <w:tcBorders>
              <w:top w:val="single" w:color="000000" w:sz="8" w:space="0"/>
              <w:left w:val="single" w:color="000000" w:sz="8" w:space="0"/>
              <w:bottom w:val="single" w:color="000000" w:sz="8" w:space="0"/>
              <w:right w:val="single" w:color="000000" w:sz="8" w:space="0"/>
            </w:tcBorders>
            <w:shd w:val="clear" w:color="auto" w:fill="auto"/>
          </w:tcPr>
          <w:p>
            <w:pPr>
              <w:keepNext w:val="0"/>
              <w:keepLines w:val="0"/>
              <w:pageBreakBefore w:val="0"/>
              <w:widowControl w:val="0"/>
              <w:numPr>
                <w:ilvl w:val="0"/>
                <w:numId w:val="2"/>
              </w:numPr>
              <w:kinsoku/>
              <w:wordWrap/>
              <w:overflowPunct/>
              <w:topLinePunct w:val="0"/>
              <w:autoSpaceDE/>
              <w:autoSpaceDN/>
              <w:bidi w:val="0"/>
              <w:adjustRightInd/>
              <w:snapToGrid/>
              <w:spacing w:line="320" w:lineRule="exact"/>
              <w:textAlignment w:val="auto"/>
              <w:rPr>
                <w:rFonts w:hint="eastAsia" w:ascii="宋体" w:hAnsi="宋体" w:eastAsia="宋体" w:cs="Times New Roman"/>
                <w:color w:val="000000"/>
                <w:szCs w:val="21"/>
                <w:lang w:val="en-US" w:eastAsia="zh-CN"/>
              </w:rPr>
            </w:pPr>
            <w:r>
              <w:rPr>
                <w:rFonts w:hint="eastAsia" w:ascii="宋体" w:hAnsi="宋体" w:eastAsia="宋体" w:cs="Calibri"/>
                <w:color w:val="000000"/>
                <w:szCs w:val="21"/>
                <w:lang w:val="en-US" w:eastAsia="zh-CN"/>
              </w:rPr>
              <w:t>肉类、蛋类（20分）：</w:t>
            </w:r>
            <w:r>
              <w:rPr>
                <w:rFonts w:hint="eastAsia" w:ascii="宋体" w:hAnsi="宋体" w:eastAsia="宋体" w:cs="Times New Roman"/>
                <w:color w:val="000000"/>
                <w:szCs w:val="21"/>
                <w:lang w:val="en-US" w:eastAsia="zh-CN"/>
              </w:rPr>
              <w:t>以南宁市淡村农贸市场的</w:t>
            </w:r>
            <w:r>
              <w:rPr>
                <w:rFonts w:hint="eastAsia" w:ascii="宋体" w:hAnsi="宋体" w:eastAsia="宋体" w:cs="Times New Roman"/>
                <w:color w:val="000000"/>
                <w:szCs w:val="21"/>
              </w:rPr>
              <w:t>肉类、蛋类</w:t>
            </w:r>
            <w:r>
              <w:rPr>
                <w:rFonts w:hint="eastAsia" w:ascii="宋体" w:hAnsi="宋体" w:eastAsia="宋体" w:cs="Times New Roman"/>
                <w:color w:val="000000"/>
                <w:szCs w:val="21"/>
                <w:lang w:val="en-US" w:eastAsia="zh-CN"/>
              </w:rPr>
              <w:t>食材价格为基准价，基准价下浮12%得20分，每少下浮一个百分点减1.5分，基准价不下浮的不得分；</w:t>
            </w:r>
          </w:p>
          <w:p>
            <w:pPr>
              <w:keepNext w:val="0"/>
              <w:keepLines w:val="0"/>
              <w:pageBreakBefore w:val="0"/>
              <w:widowControl w:val="0"/>
              <w:numPr>
                <w:ilvl w:val="0"/>
                <w:numId w:val="2"/>
              </w:numPr>
              <w:kinsoku/>
              <w:wordWrap/>
              <w:overflowPunct/>
              <w:topLinePunct w:val="0"/>
              <w:autoSpaceDE/>
              <w:autoSpaceDN/>
              <w:bidi w:val="0"/>
              <w:adjustRightInd/>
              <w:snapToGrid/>
              <w:spacing w:line="320" w:lineRule="exact"/>
              <w:textAlignment w:val="auto"/>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蔬菜类（20分）：以南宁市淡村农贸市场的蔬菜类食材价格为基准价，基准价下浮20%得20分，每少下浮一个百分点减1分，基准价不下浮的不得分。</w:t>
            </w:r>
          </w:p>
          <w:p>
            <w:pPr>
              <w:keepNext w:val="0"/>
              <w:keepLines w:val="0"/>
              <w:pageBreakBefore w:val="0"/>
              <w:widowControl w:val="0"/>
              <w:numPr>
                <w:ilvl w:val="0"/>
                <w:numId w:val="2"/>
              </w:numPr>
              <w:kinsoku/>
              <w:wordWrap/>
              <w:overflowPunct/>
              <w:topLinePunct w:val="0"/>
              <w:autoSpaceDE/>
              <w:autoSpaceDN/>
              <w:bidi w:val="0"/>
              <w:adjustRightInd/>
              <w:snapToGrid/>
              <w:spacing w:line="320" w:lineRule="exact"/>
              <w:textAlignment w:val="auto"/>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价格分=</w:t>
            </w:r>
            <w:r>
              <w:rPr>
                <w:rFonts w:hint="eastAsia" w:ascii="宋体" w:hAnsi="宋体" w:eastAsia="宋体" w:cs="Calibri"/>
                <w:color w:val="000000"/>
                <w:szCs w:val="21"/>
                <w:lang w:val="en-US" w:eastAsia="zh-CN"/>
              </w:rPr>
              <w:t>肉类、蛋类得分+</w:t>
            </w:r>
            <w:r>
              <w:rPr>
                <w:rFonts w:hint="eastAsia" w:ascii="宋体" w:hAnsi="宋体" w:eastAsia="宋体" w:cs="Times New Roman"/>
                <w:color w:val="000000"/>
                <w:szCs w:val="21"/>
                <w:lang w:val="en-US" w:eastAsia="zh-CN"/>
              </w:rPr>
              <w:t>蔬菜类得分。</w:t>
            </w:r>
          </w:p>
        </w:tc>
      </w:tr>
      <w:tr>
        <w:tblPrEx>
          <w:tblCellMar>
            <w:top w:w="0" w:type="dxa"/>
            <w:left w:w="108" w:type="dxa"/>
            <w:bottom w:w="0" w:type="dxa"/>
            <w:right w:w="108" w:type="dxa"/>
          </w:tblCellMar>
        </w:tblPrEx>
        <w:trPr>
          <w:trHeight w:val="588" w:hRule="atLeast"/>
        </w:trPr>
        <w:tc>
          <w:tcPr>
            <w:tcW w:w="11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售后服务分（40分）</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0"/>
              <w:tabs>
                <w:tab w:val="left" w:pos="567"/>
                <w:tab w:val="left" w:pos="851"/>
              </w:tabs>
              <w:spacing w:line="420" w:lineRule="exact"/>
              <w:jc w:val="left"/>
              <w:rPr>
                <w:rFonts w:ascii="宋体" w:hAnsi="宋体" w:eastAsia="宋体" w:cs="Calibri"/>
                <w:color w:val="000000"/>
                <w:szCs w:val="21"/>
              </w:rPr>
            </w:pPr>
            <w:r>
              <w:rPr>
                <w:rFonts w:hint="eastAsia" w:ascii="宋体" w:hAnsi="宋体" w:eastAsia="宋体" w:cs="Calibri"/>
                <w:color w:val="000000"/>
                <w:kern w:val="2"/>
                <w:sz w:val="21"/>
                <w:szCs w:val="21"/>
                <w:lang w:val="en-US" w:eastAsia="zh-CN" w:bidi="ar-SA"/>
              </w:rPr>
              <w:t>配送服务方案分（20分）</w:t>
            </w:r>
          </w:p>
        </w:tc>
        <w:tc>
          <w:tcPr>
            <w:tcW w:w="6534" w:type="dxa"/>
            <w:tcBorders>
              <w:top w:val="single" w:color="000000" w:sz="8" w:space="0"/>
              <w:left w:val="single" w:color="auto" w:sz="4" w:space="0"/>
              <w:bottom w:val="single" w:color="000000" w:sz="8" w:space="0"/>
              <w:right w:val="single" w:color="000000" w:sz="8" w:space="0"/>
            </w:tcBorders>
            <w:shd w:val="clear" w:color="auto" w:fill="auto"/>
            <w:vAlign w:val="top"/>
          </w:tcPr>
          <w:p>
            <w:pPr>
              <w:pStyle w:val="30"/>
              <w:tabs>
                <w:tab w:val="left" w:pos="567"/>
                <w:tab w:val="left" w:pos="851"/>
              </w:tabs>
              <w:spacing w:line="420" w:lineRule="exact"/>
              <w:jc w:val="left"/>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一档（ 0-7分）：方案可行性较差，无针对性，不能对大部分货品质量、可追溯性和采购渠道的正规、合法性进行承诺。</w:t>
            </w:r>
          </w:p>
          <w:p>
            <w:pPr>
              <w:pStyle w:val="30"/>
              <w:tabs>
                <w:tab w:val="left" w:pos="567"/>
                <w:tab w:val="left" w:pos="851"/>
              </w:tabs>
              <w:spacing w:line="420" w:lineRule="exact"/>
              <w:jc w:val="left"/>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二档 （</w:t>
            </w:r>
            <w:r>
              <w:rPr>
                <w:rFonts w:hint="eastAsia" w:ascii="宋体" w:hAnsi="宋体" w:cs="Calibri"/>
                <w:color w:val="000000"/>
                <w:kern w:val="2"/>
                <w:sz w:val="21"/>
                <w:szCs w:val="21"/>
                <w:lang w:val="en-US" w:eastAsia="zh-CN" w:bidi="ar-SA"/>
              </w:rPr>
              <w:t>7.1</w:t>
            </w:r>
            <w:r>
              <w:rPr>
                <w:rFonts w:hint="eastAsia" w:ascii="宋体" w:hAnsi="宋体" w:eastAsia="宋体" w:cs="Calibri"/>
                <w:color w:val="000000"/>
                <w:kern w:val="2"/>
                <w:sz w:val="21"/>
                <w:szCs w:val="21"/>
                <w:lang w:val="en-US" w:eastAsia="zh-CN" w:bidi="ar-SA"/>
              </w:rPr>
              <w:t>-14分）：方案可行性一般，针对性不强，对部分货品质量、可追溯性和采购渠道的正规、合法性进行承诺。</w:t>
            </w:r>
          </w:p>
          <w:p>
            <w:pPr>
              <w:spacing w:line="400" w:lineRule="exact"/>
              <w:jc w:val="left"/>
              <w:rPr>
                <w:rFonts w:ascii="宋体" w:hAnsi="宋体" w:eastAsia="宋体" w:cs="Calibri"/>
                <w:color w:val="000000"/>
                <w:szCs w:val="21"/>
              </w:rPr>
            </w:pPr>
            <w:r>
              <w:rPr>
                <w:rFonts w:hint="eastAsia" w:ascii="宋体" w:hAnsi="宋体" w:eastAsia="宋体" w:cs="Calibri"/>
                <w:color w:val="000000"/>
                <w:kern w:val="2"/>
                <w:sz w:val="21"/>
                <w:szCs w:val="21"/>
                <w:lang w:val="en-US" w:eastAsia="zh-CN" w:bidi="ar-SA"/>
              </w:rPr>
              <w:t>三档（14.1-20分):方案可行性强，有较强的针对性、对需货人所在行业食堂熟悉性比分析，制定有精准详细的配送、售后方案、有对全部货品质量、可追溯性和采购渠道的正规、合法性进行承诺。</w:t>
            </w:r>
          </w:p>
        </w:tc>
      </w:tr>
      <w:tr>
        <w:tblPrEx>
          <w:tblCellMar>
            <w:top w:w="0" w:type="dxa"/>
            <w:left w:w="108" w:type="dxa"/>
            <w:bottom w:w="0" w:type="dxa"/>
            <w:right w:w="108" w:type="dxa"/>
          </w:tblCellMar>
        </w:tblPrEx>
        <w:trPr>
          <w:trHeight w:val="471" w:hRule="atLeast"/>
        </w:trPr>
        <w:tc>
          <w:tcPr>
            <w:tcW w:w="11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ind w:firstLine="420" w:firstLineChars="200"/>
              <w:jc w:val="center"/>
              <w:rPr>
                <w:rFonts w:ascii="宋体" w:hAnsi="宋体" w:eastAsia="宋体" w:cs="Calibri"/>
                <w:color w:val="000000"/>
                <w:szCs w:val="21"/>
              </w:rPr>
            </w:pP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0"/>
              <w:tabs>
                <w:tab w:val="left" w:pos="567"/>
                <w:tab w:val="left" w:pos="851"/>
              </w:tabs>
              <w:spacing w:line="420" w:lineRule="exact"/>
              <w:jc w:val="left"/>
              <w:rPr>
                <w:rFonts w:ascii="宋体" w:hAnsi="宋体" w:eastAsia="宋体" w:cs="Calibri"/>
                <w:color w:val="000000"/>
                <w:szCs w:val="21"/>
              </w:rPr>
            </w:pPr>
            <w:r>
              <w:rPr>
                <w:rFonts w:hint="eastAsia" w:ascii="宋体" w:hAnsi="宋体" w:eastAsia="宋体" w:cs="Calibri"/>
                <w:color w:val="000000"/>
                <w:kern w:val="2"/>
                <w:sz w:val="21"/>
                <w:szCs w:val="21"/>
                <w:lang w:val="en-US" w:eastAsia="zh-CN" w:bidi="ar-SA"/>
              </w:rPr>
              <w:t>应急预案分（</w:t>
            </w:r>
            <w:r>
              <w:rPr>
                <w:rFonts w:hint="eastAsia" w:ascii="宋体" w:hAnsi="宋体" w:cs="Calibri"/>
                <w:color w:val="000000"/>
                <w:kern w:val="2"/>
                <w:sz w:val="21"/>
                <w:szCs w:val="21"/>
                <w:lang w:val="en-US" w:eastAsia="zh-CN" w:bidi="ar-SA"/>
              </w:rPr>
              <w:t>2</w:t>
            </w:r>
            <w:r>
              <w:rPr>
                <w:rFonts w:hint="eastAsia" w:ascii="宋体" w:hAnsi="宋体" w:eastAsia="宋体" w:cs="Calibri"/>
                <w:color w:val="000000"/>
                <w:kern w:val="2"/>
                <w:sz w:val="21"/>
                <w:szCs w:val="21"/>
                <w:lang w:val="en-US" w:eastAsia="zh-CN" w:bidi="ar-SA"/>
              </w:rPr>
              <w:t>0）</w:t>
            </w:r>
          </w:p>
        </w:tc>
        <w:tc>
          <w:tcPr>
            <w:tcW w:w="6534" w:type="dxa"/>
            <w:tcBorders>
              <w:top w:val="single" w:color="000000" w:sz="8" w:space="0"/>
              <w:left w:val="single" w:color="auto" w:sz="4" w:space="0"/>
              <w:bottom w:val="single" w:color="000000" w:sz="8" w:space="0"/>
              <w:right w:val="single" w:color="000000" w:sz="8" w:space="0"/>
            </w:tcBorders>
            <w:shd w:val="clear" w:color="auto" w:fill="auto"/>
            <w:vAlign w:val="top"/>
          </w:tcPr>
          <w:p>
            <w:pPr>
              <w:pStyle w:val="30"/>
              <w:tabs>
                <w:tab w:val="left" w:pos="567"/>
                <w:tab w:val="left" w:pos="851"/>
              </w:tabs>
              <w:spacing w:line="420" w:lineRule="exact"/>
              <w:jc w:val="left"/>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一档（0-</w:t>
            </w:r>
            <w:r>
              <w:rPr>
                <w:rFonts w:hint="eastAsia" w:ascii="宋体" w:hAnsi="宋体" w:cs="Calibri"/>
                <w:color w:val="000000"/>
                <w:kern w:val="2"/>
                <w:sz w:val="21"/>
                <w:szCs w:val="21"/>
                <w:lang w:val="en-US" w:eastAsia="zh-CN" w:bidi="ar-SA"/>
              </w:rPr>
              <w:t>7</w:t>
            </w:r>
            <w:r>
              <w:rPr>
                <w:rFonts w:hint="eastAsia" w:ascii="宋体" w:hAnsi="宋体" w:eastAsia="宋体" w:cs="Calibri"/>
                <w:color w:val="000000"/>
                <w:kern w:val="2"/>
                <w:sz w:val="21"/>
                <w:szCs w:val="21"/>
                <w:lang w:val="en-US" w:eastAsia="zh-CN" w:bidi="ar-SA"/>
              </w:rPr>
              <w:t>分）：应急保障机制以及问题的处理方案描述简单，具体实施步骤和要求描述较简单；</w:t>
            </w:r>
          </w:p>
          <w:p>
            <w:pPr>
              <w:pStyle w:val="30"/>
              <w:tabs>
                <w:tab w:val="left" w:pos="567"/>
                <w:tab w:val="left" w:pos="851"/>
              </w:tabs>
              <w:spacing w:line="420" w:lineRule="exact"/>
              <w:jc w:val="left"/>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二档（</w:t>
            </w:r>
            <w:r>
              <w:rPr>
                <w:rFonts w:hint="eastAsia" w:ascii="宋体" w:hAnsi="宋体" w:cs="Calibri"/>
                <w:color w:val="000000"/>
                <w:kern w:val="2"/>
                <w:sz w:val="21"/>
                <w:szCs w:val="21"/>
                <w:lang w:val="en-US" w:eastAsia="zh-CN" w:bidi="ar-SA"/>
              </w:rPr>
              <w:t>7.1</w:t>
            </w:r>
            <w:r>
              <w:rPr>
                <w:rFonts w:hint="eastAsia" w:ascii="宋体" w:hAnsi="宋体" w:eastAsia="宋体" w:cs="Calibri"/>
                <w:color w:val="000000"/>
                <w:kern w:val="2"/>
                <w:sz w:val="21"/>
                <w:szCs w:val="21"/>
                <w:lang w:val="en-US" w:eastAsia="zh-CN" w:bidi="ar-SA"/>
              </w:rPr>
              <w:t>-</w:t>
            </w:r>
            <w:r>
              <w:rPr>
                <w:rFonts w:hint="eastAsia" w:ascii="宋体" w:hAnsi="宋体" w:cs="Calibri"/>
                <w:color w:val="000000"/>
                <w:kern w:val="2"/>
                <w:sz w:val="21"/>
                <w:szCs w:val="21"/>
                <w:lang w:val="en-US" w:eastAsia="zh-CN" w:bidi="ar-SA"/>
              </w:rPr>
              <w:t>14</w:t>
            </w:r>
            <w:r>
              <w:rPr>
                <w:rFonts w:hint="eastAsia" w:ascii="宋体" w:hAnsi="宋体" w:eastAsia="宋体" w:cs="Calibri"/>
                <w:color w:val="000000"/>
                <w:kern w:val="2"/>
                <w:sz w:val="21"/>
                <w:szCs w:val="21"/>
                <w:lang w:val="en-US" w:eastAsia="zh-CN" w:bidi="ar-SA"/>
              </w:rPr>
              <w:t xml:space="preserve">分）：应急保障机制以及问题的处理方案满足要求、描述简单，具体实施步骤和要求描述较简单，优于一档的；     </w:t>
            </w:r>
          </w:p>
          <w:p>
            <w:pPr>
              <w:pStyle w:val="30"/>
              <w:tabs>
                <w:tab w:val="left" w:pos="567"/>
                <w:tab w:val="left" w:pos="851"/>
              </w:tabs>
              <w:spacing w:line="420" w:lineRule="exact"/>
              <w:jc w:val="left"/>
              <w:rPr>
                <w:rFonts w:hint="eastAsia" w:ascii="宋体" w:hAnsi="宋体" w:eastAsia="宋体" w:cs="Calibri"/>
                <w:color w:val="000000"/>
                <w:szCs w:val="21"/>
                <w:lang w:eastAsia="zh-CN"/>
              </w:rPr>
            </w:pPr>
            <w:r>
              <w:rPr>
                <w:rFonts w:hint="eastAsia" w:ascii="宋体" w:hAnsi="宋体" w:eastAsia="宋体" w:cs="Calibri"/>
                <w:color w:val="000000"/>
                <w:kern w:val="2"/>
                <w:sz w:val="21"/>
                <w:szCs w:val="21"/>
                <w:lang w:val="en-US" w:eastAsia="zh-CN" w:bidi="ar-SA"/>
              </w:rPr>
              <w:t>三档（</w:t>
            </w:r>
            <w:r>
              <w:rPr>
                <w:rFonts w:hint="eastAsia" w:ascii="宋体" w:hAnsi="宋体" w:cs="Calibri"/>
                <w:color w:val="000000"/>
                <w:kern w:val="2"/>
                <w:sz w:val="21"/>
                <w:szCs w:val="21"/>
                <w:lang w:val="en-US" w:eastAsia="zh-CN" w:bidi="ar-SA"/>
              </w:rPr>
              <w:t>14.1</w:t>
            </w:r>
            <w:r>
              <w:rPr>
                <w:rFonts w:hint="eastAsia" w:ascii="宋体" w:hAnsi="宋体" w:eastAsia="宋体" w:cs="Calibri"/>
                <w:color w:val="000000"/>
                <w:kern w:val="2"/>
                <w:sz w:val="21"/>
                <w:szCs w:val="21"/>
                <w:lang w:val="en-US" w:eastAsia="zh-CN" w:bidi="ar-SA"/>
              </w:rPr>
              <w:t>-</w:t>
            </w:r>
            <w:r>
              <w:rPr>
                <w:rFonts w:hint="eastAsia" w:ascii="宋体" w:hAnsi="宋体" w:cs="Calibri"/>
                <w:color w:val="000000"/>
                <w:kern w:val="2"/>
                <w:sz w:val="21"/>
                <w:szCs w:val="21"/>
                <w:lang w:val="en-US" w:eastAsia="zh-CN" w:bidi="ar-SA"/>
              </w:rPr>
              <w:t>2</w:t>
            </w:r>
            <w:r>
              <w:rPr>
                <w:rFonts w:hint="eastAsia" w:ascii="宋体" w:hAnsi="宋体" w:eastAsia="宋体" w:cs="Calibri"/>
                <w:color w:val="000000"/>
                <w:kern w:val="2"/>
                <w:sz w:val="21"/>
                <w:szCs w:val="21"/>
                <w:lang w:val="en-US" w:eastAsia="zh-CN" w:bidi="ar-SA"/>
              </w:rPr>
              <w:t>0分）：应急保障机制以及问题货品的处理方案较先进符合要求、描述较详细，具体实施步骤和要求描述较详细，优于二档的，可行性强。</w:t>
            </w:r>
          </w:p>
        </w:tc>
      </w:tr>
      <w:tr>
        <w:tblPrEx>
          <w:tblCellMar>
            <w:top w:w="0" w:type="dxa"/>
            <w:left w:w="108" w:type="dxa"/>
            <w:bottom w:w="0" w:type="dxa"/>
            <w:right w:w="108" w:type="dxa"/>
          </w:tblCellMar>
        </w:tblPrEx>
        <w:trPr>
          <w:trHeight w:val="854" w:hRule="atLeast"/>
        </w:trPr>
        <w:tc>
          <w:tcPr>
            <w:tcW w:w="11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宋体" w:hAnsi="宋体" w:eastAsia="宋体" w:cs="Calibri"/>
                <w:color w:val="000000"/>
                <w:szCs w:val="21"/>
                <w:lang w:eastAsia="zh-CN"/>
              </w:rPr>
            </w:pPr>
            <w:r>
              <w:rPr>
                <w:rFonts w:hint="eastAsia" w:ascii="宋体" w:hAnsi="宋体" w:eastAsia="宋体" w:cs="Calibri"/>
                <w:color w:val="000000"/>
                <w:szCs w:val="21"/>
                <w:lang w:val="en-US" w:eastAsia="zh-CN"/>
              </w:rPr>
              <w:t>综合实力</w:t>
            </w:r>
            <w:r>
              <w:rPr>
                <w:rFonts w:hint="eastAsia" w:ascii="宋体" w:hAnsi="宋体" w:eastAsia="宋体" w:cs="Calibri"/>
                <w:color w:val="000000"/>
                <w:szCs w:val="21"/>
              </w:rPr>
              <w:t xml:space="preserve">分 </w:t>
            </w:r>
            <w:r>
              <w:rPr>
                <w:rFonts w:hint="eastAsia" w:ascii="宋体" w:hAnsi="宋体" w:eastAsia="宋体" w:cs="Calibri"/>
                <w:color w:val="000000"/>
                <w:szCs w:val="21"/>
                <w:lang w:eastAsia="zh-CN"/>
              </w:rPr>
              <w:t>（</w:t>
            </w:r>
            <w:r>
              <w:rPr>
                <w:rFonts w:hint="eastAsia" w:ascii="宋体" w:hAnsi="宋体" w:eastAsia="宋体" w:cs="Calibri"/>
                <w:color w:val="000000"/>
                <w:szCs w:val="21"/>
                <w:lang w:val="en-US" w:eastAsia="zh-CN"/>
              </w:rPr>
              <w:t>20分</w:t>
            </w:r>
            <w:r>
              <w:rPr>
                <w:rFonts w:hint="eastAsia" w:ascii="宋体" w:hAnsi="宋体" w:eastAsia="宋体" w:cs="Calibri"/>
                <w:color w:val="000000"/>
                <w:szCs w:val="21"/>
                <w:lang w:eastAsia="zh-CN"/>
              </w:rPr>
              <w:t>）</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管理制度分（4分）</w:t>
            </w:r>
          </w:p>
        </w:tc>
        <w:tc>
          <w:tcPr>
            <w:tcW w:w="6534" w:type="dxa"/>
            <w:tcBorders>
              <w:top w:val="single" w:color="000000" w:sz="8" w:space="0"/>
              <w:left w:val="single" w:color="auto" w:sz="4" w:space="0"/>
              <w:bottom w:val="single" w:color="000000" w:sz="8" w:space="0"/>
              <w:right w:val="single" w:color="000000" w:sz="8" w:space="0"/>
            </w:tcBorders>
            <w:shd w:val="clear" w:color="auto" w:fill="auto"/>
          </w:tcPr>
          <w:p>
            <w:pPr>
              <w:numPr>
                <w:ilvl w:val="0"/>
                <w:numId w:val="0"/>
              </w:numPr>
              <w:spacing w:line="420" w:lineRule="exact"/>
              <w:rPr>
                <w:rFonts w:hint="eastAsia" w:ascii="宋体" w:hAnsi="宋体" w:eastAsia="宋体" w:cs="Calibri"/>
                <w:color w:val="000000"/>
                <w:szCs w:val="21"/>
                <w:lang w:eastAsia="zh-CN"/>
              </w:rPr>
            </w:pPr>
            <w:r>
              <w:rPr>
                <w:rFonts w:hint="eastAsia" w:ascii="宋体" w:hAnsi="宋体" w:eastAsia="宋体" w:cs="Calibri"/>
                <w:color w:val="000000"/>
                <w:szCs w:val="21"/>
              </w:rPr>
              <w:t>新冠状肺炎疫情防控期间，有相应的防控管理制度和配送经验。有相应的防疫部署和管理制度、管控措施 得0-</w:t>
            </w:r>
            <w:r>
              <w:rPr>
                <w:rFonts w:hint="eastAsia" w:ascii="宋体" w:hAnsi="宋体" w:eastAsia="宋体" w:cs="Calibri"/>
                <w:color w:val="000000"/>
                <w:szCs w:val="21"/>
                <w:lang w:val="en-US" w:eastAsia="zh-CN"/>
              </w:rPr>
              <w:t>4</w:t>
            </w:r>
            <w:r>
              <w:rPr>
                <w:rFonts w:hint="eastAsia" w:ascii="宋体" w:hAnsi="宋体" w:eastAsia="宋体" w:cs="Calibri"/>
                <w:color w:val="000000"/>
                <w:szCs w:val="21"/>
              </w:rPr>
              <w:t>分</w:t>
            </w:r>
          </w:p>
        </w:tc>
      </w:tr>
      <w:tr>
        <w:tblPrEx>
          <w:tblCellMar>
            <w:top w:w="0" w:type="dxa"/>
            <w:left w:w="108" w:type="dxa"/>
            <w:bottom w:w="0" w:type="dxa"/>
            <w:right w:w="108" w:type="dxa"/>
          </w:tblCellMar>
        </w:tblPrEx>
        <w:trPr>
          <w:trHeight w:val="411" w:hRule="atLeast"/>
        </w:trPr>
        <w:tc>
          <w:tcPr>
            <w:tcW w:w="11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ind w:firstLine="420" w:firstLineChars="200"/>
              <w:jc w:val="center"/>
              <w:rPr>
                <w:rFonts w:ascii="宋体" w:hAnsi="宋体" w:eastAsia="宋体" w:cs="Calibri"/>
                <w:color w:val="000000"/>
                <w:szCs w:val="21"/>
              </w:rPr>
            </w:pP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检测能力分（3分）</w:t>
            </w:r>
          </w:p>
        </w:tc>
        <w:tc>
          <w:tcPr>
            <w:tcW w:w="6534" w:type="dxa"/>
            <w:tcBorders>
              <w:top w:val="single" w:color="000000" w:sz="8" w:space="0"/>
              <w:left w:val="single" w:color="auto" w:sz="4" w:space="0"/>
              <w:bottom w:val="single" w:color="000000" w:sz="8" w:space="0"/>
              <w:right w:val="single" w:color="000000" w:sz="8" w:space="0"/>
            </w:tcBorders>
            <w:shd w:val="clear" w:color="auto" w:fill="auto"/>
          </w:tcPr>
          <w:p>
            <w:pPr>
              <w:numPr>
                <w:ilvl w:val="0"/>
                <w:numId w:val="0"/>
              </w:numPr>
              <w:spacing w:line="420" w:lineRule="exact"/>
              <w:rPr>
                <w:rFonts w:hint="eastAsia" w:ascii="宋体" w:hAnsi="宋体" w:eastAsia="宋体" w:cs="Calibri"/>
                <w:color w:val="000000"/>
                <w:szCs w:val="21"/>
              </w:rPr>
            </w:pPr>
            <w:r>
              <w:rPr>
                <w:rFonts w:hint="eastAsia" w:ascii="宋体" w:hAnsi="宋体" w:eastAsia="宋体" w:cs="Calibri"/>
                <w:color w:val="000000"/>
                <w:szCs w:val="21"/>
              </w:rPr>
              <w:t>公司有相应的农残检测室，具备检测能力，得</w:t>
            </w:r>
            <w:r>
              <w:rPr>
                <w:rFonts w:hint="eastAsia" w:ascii="宋体" w:hAnsi="宋体" w:eastAsia="宋体" w:cs="Calibri"/>
                <w:color w:val="000000"/>
                <w:szCs w:val="21"/>
                <w:lang w:val="en-US" w:eastAsia="zh-CN"/>
              </w:rPr>
              <w:t>3</w:t>
            </w:r>
            <w:r>
              <w:rPr>
                <w:rFonts w:hint="eastAsia" w:ascii="宋体" w:hAnsi="宋体" w:eastAsia="宋体" w:cs="Calibri"/>
                <w:color w:val="000000"/>
                <w:szCs w:val="21"/>
              </w:rPr>
              <w:t>分。</w:t>
            </w:r>
          </w:p>
        </w:tc>
      </w:tr>
      <w:tr>
        <w:tblPrEx>
          <w:tblCellMar>
            <w:top w:w="0" w:type="dxa"/>
            <w:left w:w="108" w:type="dxa"/>
            <w:bottom w:w="0" w:type="dxa"/>
            <w:right w:w="108" w:type="dxa"/>
          </w:tblCellMar>
        </w:tblPrEx>
        <w:trPr>
          <w:trHeight w:val="854" w:hRule="atLeast"/>
        </w:trPr>
        <w:tc>
          <w:tcPr>
            <w:tcW w:w="1173" w:type="dxa"/>
            <w:vMerge w:val="continue"/>
            <w:tcBorders>
              <w:top w:val="single" w:color="auto" w:sz="4" w:space="0"/>
              <w:left w:val="single" w:color="auto" w:sz="4" w:space="0"/>
              <w:right w:val="single" w:color="000000" w:sz="8" w:space="0"/>
            </w:tcBorders>
            <w:shd w:val="clear" w:color="auto" w:fill="auto"/>
            <w:vAlign w:val="center"/>
          </w:tcPr>
          <w:p>
            <w:pPr>
              <w:spacing w:line="400" w:lineRule="exact"/>
              <w:ind w:firstLine="420" w:firstLineChars="200"/>
              <w:jc w:val="center"/>
              <w:rPr>
                <w:rFonts w:ascii="宋体" w:hAnsi="宋体" w:eastAsia="宋体" w:cs="Calibri"/>
                <w:color w:val="000000"/>
                <w:szCs w:val="21"/>
              </w:rPr>
            </w:pPr>
          </w:p>
        </w:tc>
        <w:tc>
          <w:tcPr>
            <w:tcW w:w="930" w:type="dxa"/>
            <w:tcBorders>
              <w:top w:val="single" w:color="auto" w:sz="4" w:space="0"/>
              <w:left w:val="single" w:color="000000" w:sz="8" w:space="0"/>
              <w:bottom w:val="single" w:color="000000" w:sz="8" w:space="0"/>
              <w:right w:val="single" w:color="000000" w:sz="8" w:space="0"/>
            </w:tcBorders>
            <w:shd w:val="clear" w:color="auto" w:fill="auto"/>
            <w:vAlign w:val="center"/>
          </w:tcPr>
          <w:p>
            <w:pPr>
              <w:spacing w:line="40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业绩分（5分）</w:t>
            </w:r>
          </w:p>
        </w:tc>
        <w:tc>
          <w:tcPr>
            <w:tcW w:w="6534" w:type="dxa"/>
            <w:tcBorders>
              <w:top w:val="single" w:color="000000" w:sz="8" w:space="0"/>
              <w:left w:val="single" w:color="000000" w:sz="8" w:space="0"/>
              <w:bottom w:val="single" w:color="000000" w:sz="8" w:space="0"/>
              <w:right w:val="single" w:color="000000" w:sz="8" w:space="0"/>
            </w:tcBorders>
            <w:shd w:val="clear" w:color="auto" w:fill="auto"/>
          </w:tcPr>
          <w:p>
            <w:pPr>
              <w:numPr>
                <w:ilvl w:val="0"/>
                <w:numId w:val="0"/>
              </w:numPr>
              <w:spacing w:line="420" w:lineRule="exact"/>
              <w:rPr>
                <w:rFonts w:hint="eastAsia" w:ascii="宋体" w:hAnsi="宋体" w:eastAsia="宋体" w:cs="Calibri"/>
                <w:color w:val="000000"/>
                <w:szCs w:val="21"/>
              </w:rPr>
            </w:pPr>
            <w:r>
              <w:rPr>
                <w:rFonts w:hint="eastAsia" w:ascii="宋体" w:hAnsi="宋体" w:eastAsia="宋体" w:cs="Calibri"/>
                <w:color w:val="000000"/>
                <w:szCs w:val="21"/>
              </w:rPr>
              <w:t>201</w:t>
            </w:r>
            <w:r>
              <w:rPr>
                <w:rFonts w:hint="eastAsia" w:ascii="宋体" w:hAnsi="宋体" w:eastAsia="宋体" w:cs="Calibri"/>
                <w:color w:val="000000"/>
                <w:szCs w:val="21"/>
                <w:lang w:val="en-US" w:eastAsia="zh-CN"/>
              </w:rPr>
              <w:t>9</w:t>
            </w:r>
            <w:r>
              <w:rPr>
                <w:rFonts w:hint="eastAsia" w:ascii="宋体" w:hAnsi="宋体" w:eastAsia="宋体" w:cs="Calibri"/>
                <w:color w:val="000000"/>
                <w:szCs w:val="21"/>
              </w:rPr>
              <w:t>年1月</w:t>
            </w:r>
            <w:r>
              <w:rPr>
                <w:rFonts w:hint="eastAsia" w:ascii="宋体" w:hAnsi="宋体" w:eastAsia="宋体" w:cs="Calibri"/>
                <w:color w:val="000000"/>
                <w:szCs w:val="21"/>
                <w:lang w:val="en-US" w:eastAsia="zh-CN"/>
              </w:rPr>
              <w:t>至今</w:t>
            </w:r>
            <w:r>
              <w:rPr>
                <w:rFonts w:hint="eastAsia" w:ascii="宋体" w:hAnsi="宋体" w:eastAsia="宋体" w:cs="Calibri"/>
                <w:color w:val="000000"/>
                <w:szCs w:val="21"/>
              </w:rPr>
              <w:t>，在广西区内供货业绩，投标人提供业绩合同证明的每项得</w:t>
            </w:r>
            <w:r>
              <w:rPr>
                <w:rFonts w:hint="eastAsia" w:ascii="宋体" w:hAnsi="宋体" w:eastAsia="宋体" w:cs="Calibri"/>
                <w:color w:val="000000"/>
                <w:szCs w:val="21"/>
                <w:lang w:val="en-US" w:eastAsia="zh-CN"/>
              </w:rPr>
              <w:t>1</w:t>
            </w:r>
            <w:r>
              <w:rPr>
                <w:rFonts w:hint="eastAsia" w:ascii="宋体" w:hAnsi="宋体" w:eastAsia="宋体" w:cs="Calibri"/>
                <w:color w:val="000000"/>
                <w:szCs w:val="21"/>
              </w:rPr>
              <w:t>分，未提供的不得分，满分</w:t>
            </w:r>
            <w:r>
              <w:rPr>
                <w:rFonts w:hint="eastAsia" w:ascii="宋体" w:hAnsi="宋体" w:eastAsia="宋体" w:cs="Calibri"/>
                <w:color w:val="000000"/>
                <w:szCs w:val="21"/>
                <w:lang w:val="en-US" w:eastAsia="zh-CN"/>
              </w:rPr>
              <w:t>5</w:t>
            </w:r>
            <w:r>
              <w:rPr>
                <w:rFonts w:hint="eastAsia" w:ascii="宋体" w:hAnsi="宋体" w:eastAsia="宋体" w:cs="Calibri"/>
                <w:color w:val="000000"/>
                <w:szCs w:val="21"/>
              </w:rPr>
              <w:t>分。</w:t>
            </w:r>
          </w:p>
        </w:tc>
      </w:tr>
      <w:tr>
        <w:tblPrEx>
          <w:tblCellMar>
            <w:top w:w="0" w:type="dxa"/>
            <w:left w:w="108" w:type="dxa"/>
            <w:bottom w:w="0" w:type="dxa"/>
            <w:right w:w="108" w:type="dxa"/>
          </w:tblCellMar>
        </w:tblPrEx>
        <w:trPr>
          <w:trHeight w:val="853" w:hRule="atLeast"/>
        </w:trPr>
        <w:tc>
          <w:tcPr>
            <w:tcW w:w="1173" w:type="dxa"/>
            <w:vMerge w:val="continue"/>
            <w:tcBorders>
              <w:left w:val="single" w:color="auto" w:sz="4" w:space="0"/>
              <w:right w:val="single" w:color="000000" w:sz="8" w:space="0"/>
            </w:tcBorders>
            <w:shd w:val="clear" w:color="auto" w:fill="auto"/>
            <w:vAlign w:val="center"/>
          </w:tcPr>
          <w:p>
            <w:pPr>
              <w:spacing w:line="400" w:lineRule="exact"/>
              <w:jc w:val="center"/>
              <w:rPr>
                <w:rFonts w:ascii="宋体" w:hAnsi="宋体" w:eastAsia="宋体" w:cs="Calibri"/>
                <w:color w:val="000000"/>
                <w:szCs w:val="21"/>
              </w:rPr>
            </w:pP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400" w:lineRule="exact"/>
              <w:jc w:val="both"/>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人员得分（5分）</w:t>
            </w:r>
          </w:p>
        </w:tc>
        <w:tc>
          <w:tcPr>
            <w:tcW w:w="6534" w:type="dxa"/>
            <w:tcBorders>
              <w:top w:val="single" w:color="000000" w:sz="8" w:space="0"/>
              <w:left w:val="single" w:color="000000" w:sz="8" w:space="0"/>
              <w:bottom w:val="single" w:color="000000" w:sz="8" w:space="0"/>
              <w:right w:val="single" w:color="000000" w:sz="8" w:space="0"/>
            </w:tcBorders>
            <w:shd w:val="clear" w:color="auto" w:fill="auto"/>
          </w:tcPr>
          <w:p>
            <w:pPr>
              <w:spacing w:line="400" w:lineRule="exact"/>
              <w:rPr>
                <w:rFonts w:ascii="宋体" w:hAnsi="宋体" w:eastAsia="宋体" w:cs="Calibri"/>
                <w:color w:val="000000"/>
                <w:szCs w:val="21"/>
              </w:rPr>
            </w:pPr>
            <w:r>
              <w:rPr>
                <w:rFonts w:hint="eastAsia" w:ascii="宋体" w:hAnsi="宋体" w:eastAsia="宋体" w:cs="Calibri"/>
                <w:color w:val="000000"/>
                <w:szCs w:val="21"/>
                <w:lang w:val="en-US" w:eastAsia="zh-CN"/>
              </w:rPr>
              <w:t>投标人拟派本项目从业人员数得分。1人得1分，2人得2分，3人得3分，4人得4分，5人得5分</w:t>
            </w:r>
            <w:r>
              <w:rPr>
                <w:rFonts w:hint="eastAsia" w:ascii="宋体" w:hAnsi="宋体" w:eastAsia="宋体" w:cs="Calibri"/>
                <w:color w:val="000000"/>
                <w:szCs w:val="21"/>
              </w:rPr>
              <w:t>（提供有效健康证复印件）。</w:t>
            </w:r>
          </w:p>
        </w:tc>
      </w:tr>
      <w:tr>
        <w:tblPrEx>
          <w:tblCellMar>
            <w:top w:w="0" w:type="dxa"/>
            <w:left w:w="108" w:type="dxa"/>
            <w:bottom w:w="0" w:type="dxa"/>
            <w:right w:w="108" w:type="dxa"/>
          </w:tblCellMar>
        </w:tblPrEx>
        <w:trPr>
          <w:trHeight w:val="1659" w:hRule="atLeast"/>
        </w:trPr>
        <w:tc>
          <w:tcPr>
            <w:tcW w:w="1173" w:type="dxa"/>
            <w:vMerge w:val="continue"/>
            <w:tcBorders>
              <w:left w:val="single" w:color="auto" w:sz="4" w:space="0"/>
              <w:bottom w:val="single" w:color="000000" w:sz="8" w:space="0"/>
              <w:right w:val="single" w:color="000000" w:sz="8" w:space="0"/>
            </w:tcBorders>
            <w:shd w:val="clear" w:color="auto" w:fill="auto"/>
            <w:vAlign w:val="center"/>
          </w:tcPr>
          <w:p>
            <w:pPr>
              <w:spacing w:line="400" w:lineRule="exact"/>
              <w:ind w:firstLine="420" w:firstLineChars="200"/>
              <w:jc w:val="center"/>
              <w:rPr>
                <w:rFonts w:ascii="宋体" w:hAnsi="宋体" w:eastAsia="宋体" w:cs="Calibri"/>
                <w:color w:val="000000"/>
                <w:szCs w:val="21"/>
              </w:rPr>
            </w:pP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400" w:lineRule="exact"/>
              <w:rPr>
                <w:rFonts w:hint="eastAsia" w:ascii="宋体" w:hAnsi="宋体" w:eastAsia="宋体" w:cs="Calibri"/>
                <w:color w:val="000000"/>
                <w:szCs w:val="21"/>
              </w:rPr>
            </w:pPr>
            <w:r>
              <w:rPr>
                <w:rFonts w:hint="eastAsia" w:ascii="宋体" w:hAnsi="宋体" w:eastAsia="宋体" w:cs="Calibri"/>
                <w:color w:val="000000"/>
                <w:szCs w:val="21"/>
                <w:lang w:val="en-US" w:eastAsia="zh-CN"/>
              </w:rPr>
              <w:t>运输能力分</w:t>
            </w:r>
            <w:r>
              <w:rPr>
                <w:rFonts w:hint="eastAsia" w:ascii="宋体" w:hAnsi="宋体" w:eastAsia="宋体" w:cs="Calibri"/>
                <w:color w:val="000000"/>
                <w:szCs w:val="21"/>
              </w:rPr>
              <w:t>（</w:t>
            </w:r>
            <w:r>
              <w:rPr>
                <w:rFonts w:hint="eastAsia" w:ascii="宋体" w:hAnsi="宋体" w:eastAsia="宋体" w:cs="Calibri"/>
                <w:color w:val="000000"/>
                <w:szCs w:val="21"/>
                <w:lang w:val="en-US" w:eastAsia="zh-CN"/>
              </w:rPr>
              <w:t>3</w:t>
            </w:r>
            <w:r>
              <w:rPr>
                <w:rFonts w:hint="eastAsia" w:ascii="宋体" w:hAnsi="宋体" w:eastAsia="宋体" w:cs="Calibri"/>
                <w:color w:val="000000"/>
                <w:szCs w:val="21"/>
              </w:rPr>
              <w:t xml:space="preserve"> 分）</w:t>
            </w:r>
          </w:p>
        </w:tc>
        <w:tc>
          <w:tcPr>
            <w:tcW w:w="6534" w:type="dxa"/>
            <w:tcBorders>
              <w:top w:val="single" w:color="000000" w:sz="8" w:space="0"/>
              <w:left w:val="single" w:color="000000" w:sz="8" w:space="0"/>
              <w:bottom w:val="single" w:color="000000" w:sz="8" w:space="0"/>
              <w:right w:val="single" w:color="000000" w:sz="8" w:space="0"/>
            </w:tcBorders>
            <w:shd w:val="clear" w:color="auto" w:fill="auto"/>
          </w:tcPr>
          <w:p>
            <w:pPr>
              <w:spacing w:line="400" w:lineRule="exact"/>
              <w:rPr>
                <w:rFonts w:hint="eastAsia" w:ascii="宋体" w:hAnsi="宋体" w:eastAsia="宋体" w:cs="Calibri"/>
                <w:color w:val="000000"/>
                <w:szCs w:val="21"/>
              </w:rPr>
            </w:pPr>
            <w:r>
              <w:rPr>
                <w:rFonts w:hint="eastAsia" w:ascii="宋体" w:hAnsi="宋体" w:eastAsia="宋体" w:cs="Calibri"/>
                <w:color w:val="000000"/>
                <w:szCs w:val="21"/>
              </w:rPr>
              <w:t>投标人投入本项目专用运输车1辆，得</w:t>
            </w:r>
            <w:r>
              <w:rPr>
                <w:rFonts w:hint="eastAsia" w:ascii="宋体" w:hAnsi="宋体" w:eastAsia="宋体" w:cs="Calibri"/>
                <w:color w:val="000000"/>
                <w:szCs w:val="21"/>
                <w:lang w:val="en-US" w:eastAsia="zh-CN"/>
              </w:rPr>
              <w:t>1</w:t>
            </w:r>
            <w:r>
              <w:rPr>
                <w:rFonts w:hint="eastAsia" w:ascii="宋体" w:hAnsi="宋体" w:eastAsia="宋体" w:cs="Calibri"/>
                <w:color w:val="000000"/>
                <w:szCs w:val="21"/>
              </w:rPr>
              <w:t>分；专用运输车2辆，得</w:t>
            </w:r>
            <w:r>
              <w:rPr>
                <w:rFonts w:hint="eastAsia" w:ascii="宋体" w:hAnsi="宋体" w:eastAsia="宋体" w:cs="Calibri"/>
                <w:color w:val="000000"/>
                <w:szCs w:val="21"/>
                <w:lang w:val="en-US" w:eastAsia="zh-CN"/>
              </w:rPr>
              <w:t>2</w:t>
            </w:r>
            <w:r>
              <w:rPr>
                <w:rFonts w:hint="eastAsia" w:ascii="宋体" w:hAnsi="宋体" w:eastAsia="宋体" w:cs="Calibri"/>
                <w:color w:val="000000"/>
                <w:szCs w:val="21"/>
              </w:rPr>
              <w:t>分，专用运输车3辆，得</w:t>
            </w:r>
            <w:r>
              <w:rPr>
                <w:rFonts w:hint="eastAsia" w:ascii="宋体" w:hAnsi="宋体" w:eastAsia="宋体" w:cs="Calibri"/>
                <w:color w:val="000000"/>
                <w:szCs w:val="21"/>
                <w:lang w:val="en-US" w:eastAsia="zh-CN"/>
              </w:rPr>
              <w:t>3</w:t>
            </w:r>
            <w:r>
              <w:rPr>
                <w:rFonts w:hint="eastAsia" w:ascii="宋体" w:hAnsi="宋体" w:eastAsia="宋体" w:cs="Calibri"/>
                <w:color w:val="000000"/>
                <w:szCs w:val="21"/>
              </w:rPr>
              <w:t>分。</w:t>
            </w:r>
          </w:p>
          <w:p>
            <w:pPr>
              <w:spacing w:line="400" w:lineRule="exact"/>
              <w:rPr>
                <w:rFonts w:hint="eastAsia" w:ascii="宋体" w:hAnsi="宋体" w:eastAsia="宋体" w:cs="Calibri"/>
                <w:color w:val="000000"/>
                <w:szCs w:val="21"/>
              </w:rPr>
            </w:pPr>
            <w:r>
              <w:rPr>
                <w:rFonts w:hint="eastAsia" w:ascii="宋体" w:hAnsi="宋体" w:eastAsia="宋体" w:cs="Calibri"/>
                <w:color w:val="000000"/>
                <w:szCs w:val="21"/>
              </w:rPr>
              <w:t>注:提供车辆必须是公司名下或公司股东名下，须提供车辆行驶证、车辆登记证证明复印件，以上资料均为复印件并加盖单位公章。</w:t>
            </w:r>
          </w:p>
        </w:tc>
      </w:tr>
    </w:tbl>
    <w:p>
      <w:pPr>
        <w:jc w:val="left"/>
        <w:rPr>
          <w:rFonts w:ascii="宋体" w:hAnsi="宋体" w:eastAsia="宋体"/>
          <w:szCs w:val="21"/>
        </w:rPr>
      </w:pPr>
    </w:p>
    <w:p>
      <w:pPr>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评审小组根据综合评分情况，按照评审得分由高到低顺序推荐1名以上成交候选供应商，并编写评审报告。评审得分相同的，按照最后报价（不计算价格折扣）由低到高的顺序推荐。评审得分且最后报价（不计算价格折扣）相同的，按照</w:t>
      </w:r>
      <w:r>
        <w:rPr>
          <w:rFonts w:hint="eastAsia" w:ascii="宋体" w:hAnsi="宋体" w:eastAsia="宋体"/>
          <w:szCs w:val="21"/>
          <w:lang w:val="en-US" w:eastAsia="zh-CN"/>
        </w:rPr>
        <w:t>售后服务</w:t>
      </w:r>
      <w:r>
        <w:rPr>
          <w:rFonts w:ascii="宋体" w:hAnsi="宋体" w:eastAsia="宋体"/>
          <w:szCs w:val="21"/>
        </w:rPr>
        <w:t>优劣顺序推荐（按</w:t>
      </w:r>
      <w:r>
        <w:rPr>
          <w:rFonts w:hint="eastAsia" w:ascii="宋体" w:hAnsi="宋体" w:eastAsia="宋体"/>
          <w:szCs w:val="21"/>
          <w:lang w:val="en-US" w:eastAsia="zh-CN"/>
        </w:rPr>
        <w:t>售后服务</w:t>
      </w:r>
      <w:r>
        <w:rPr>
          <w:rFonts w:ascii="宋体" w:hAnsi="宋体" w:eastAsia="宋体"/>
          <w:szCs w:val="21"/>
        </w:rPr>
        <w:t>得分由高到低排序，</w:t>
      </w:r>
      <w:r>
        <w:rPr>
          <w:rFonts w:hint="eastAsia" w:ascii="宋体" w:hAnsi="宋体" w:eastAsia="宋体"/>
          <w:szCs w:val="21"/>
          <w:lang w:val="en-US" w:eastAsia="zh-CN"/>
        </w:rPr>
        <w:t>售后服务</w:t>
      </w:r>
      <w:r>
        <w:rPr>
          <w:rFonts w:ascii="宋体" w:hAnsi="宋体" w:eastAsia="宋体"/>
          <w:szCs w:val="21"/>
        </w:rPr>
        <w:t>得分相同的按照技术需求偏离分由高到低排序）。评审得分、最后报价（不计算价格折扣）、</w:t>
      </w:r>
      <w:r>
        <w:rPr>
          <w:rFonts w:hint="eastAsia" w:ascii="宋体" w:hAnsi="宋体" w:eastAsia="宋体"/>
          <w:szCs w:val="21"/>
          <w:lang w:val="en-US" w:eastAsia="zh-CN"/>
        </w:rPr>
        <w:t>售后服务</w:t>
      </w:r>
      <w:r>
        <w:rPr>
          <w:rFonts w:ascii="宋体" w:hAnsi="宋体" w:eastAsia="宋体"/>
          <w:szCs w:val="21"/>
        </w:rPr>
        <w:t>分均相同的，由评审小组随机抽取推荐。</w:t>
      </w: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20"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20"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20"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rPr>
          <w:rFonts w:ascii="仿宋_GB2312" w:hAnsi="Calibri" w:eastAsia="仿宋_GB2312" w:cs="Calibri"/>
          <w:bCs/>
          <w:color w:val="000000"/>
          <w:sz w:val="32"/>
          <w:szCs w:val="32"/>
        </w:rPr>
      </w:pPr>
    </w:p>
    <w:p>
      <w:pPr>
        <w:snapToGrid w:val="0"/>
        <w:spacing w:before="120"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20"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20" w:beforeLines="50" w:after="50"/>
        <w:rPr>
          <w:rFonts w:ascii="仿宋_GB2312" w:hAnsi="Calibri" w:eastAsia="仿宋_GB2312" w:cs="Calibri"/>
          <w:color w:val="000000"/>
          <w:sz w:val="32"/>
          <w:szCs w:val="32"/>
        </w:rPr>
      </w:pPr>
    </w:p>
    <w:p>
      <w:pPr>
        <w:snapToGrid w:val="0"/>
        <w:spacing w:before="120" w:beforeLines="50" w:after="50"/>
        <w:rPr>
          <w:rFonts w:ascii="仿宋_GB2312" w:hAnsi="Calibri" w:eastAsia="仿宋_GB2312" w:cs="Calibri"/>
          <w:color w:val="000000"/>
          <w:sz w:val="32"/>
          <w:szCs w:val="32"/>
        </w:rPr>
      </w:pPr>
    </w:p>
    <w:p>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20" w:beforeLines="50" w:after="50"/>
        <w:jc w:val="center"/>
        <w:rPr>
          <w:rFonts w:ascii="仿宋_GB2312" w:hAnsi="Calibri" w:eastAsia="仿宋_GB2312" w:cs="Calibri"/>
          <w:bCs/>
          <w:color w:val="000000"/>
          <w:sz w:val="32"/>
          <w:szCs w:val="32"/>
        </w:rPr>
      </w:pPr>
      <w:r>
        <w:rPr>
          <w:rFonts w:hint="eastAsia" w:ascii="仿宋_GB2312" w:hAnsi="Calibri" w:eastAsia="仿宋_GB2312" w:cs="Calibri"/>
          <w:color w:val="000000"/>
          <w:sz w:val="32"/>
          <w:szCs w:val="32"/>
        </w:rPr>
        <w:t>年    月    日</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p>
    <w:p>
      <w:pPr>
        <w:snapToGrid w:val="0"/>
        <w:spacing w:before="120"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lang w:val="en-US" w:eastAsia="zh-CN"/>
        </w:rPr>
        <w:t>一</w:t>
      </w:r>
      <w:r>
        <w:rPr>
          <w:rFonts w:hint="eastAsia" w:ascii="宋体" w:hAnsi="宋体" w:eastAsia="宋体" w:cs="Calibri"/>
          <w:b/>
          <w:bCs/>
          <w:color w:val="000000"/>
          <w:sz w:val="32"/>
          <w:szCs w:val="32"/>
        </w:rPr>
        <w:t>、</w:t>
      </w:r>
      <w:r>
        <w:rPr>
          <w:rFonts w:hint="eastAsia" w:ascii="宋体" w:hAnsi="宋体" w:eastAsia="宋体" w:cs="Calibri"/>
          <w:b/>
          <w:color w:val="000000"/>
          <w:sz w:val="32"/>
          <w:szCs w:val="32"/>
        </w:rPr>
        <w:t xml:space="preserve">报价商务技术文件格式 </w:t>
      </w:r>
    </w:p>
    <w:p>
      <w:pPr>
        <w:snapToGrid w:val="0"/>
        <w:spacing w:before="120"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20"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20"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20"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pStyle w:val="25"/>
        <w:spacing w:after="180" w:line="240" w:lineRule="auto"/>
        <w:ind w:firstLine="0"/>
        <w:jc w:val="left"/>
        <w:rPr>
          <w:color w:val="000000"/>
        </w:rPr>
      </w:pPr>
      <w:r>
        <w:rPr>
          <w:rFonts w:hint="eastAsia" w:cs="Calibri"/>
          <w:b/>
          <w:bCs/>
          <w:color w:val="000000"/>
          <w:sz w:val="32"/>
          <w:szCs w:val="32"/>
          <w:lang w:val="en-US" w:eastAsia="zh-CN" w:bidi="ar-SA"/>
        </w:rPr>
        <w:t>3.报价分析表</w:t>
      </w:r>
      <w:r>
        <w:rPr>
          <w:color w:val="000000"/>
        </w:rPr>
        <w:t>（此表如不适用可自行设计）</w:t>
      </w:r>
    </w:p>
    <w:p>
      <w:pPr>
        <w:pStyle w:val="25"/>
        <w:spacing w:after="180" w:line="240" w:lineRule="auto"/>
        <w:ind w:firstLine="0"/>
        <w:jc w:val="center"/>
        <w:rPr>
          <w:color w:val="000000"/>
          <w:lang w:val="en-US" w:eastAsia="zh-CN"/>
        </w:rPr>
      </w:pPr>
      <w:r>
        <w:rPr>
          <w:rFonts w:hint="eastAsia" w:cs="Calibri"/>
          <w:b/>
          <w:bCs/>
          <w:color w:val="000000"/>
          <w:sz w:val="32"/>
          <w:szCs w:val="32"/>
          <w:lang w:val="en-US" w:eastAsia="zh-CN" w:bidi="ar-SA"/>
        </w:rPr>
        <w:t>报价分析表</w:t>
      </w:r>
    </w:p>
    <w:p>
      <w:pPr>
        <w:pStyle w:val="26"/>
        <w:jc w:val="left"/>
      </w:pPr>
      <w:r>
        <w:rPr>
          <w:color w:val="000000"/>
        </w:rPr>
        <w:t>项目名称:</w:t>
      </w:r>
    </w:p>
    <w:tbl>
      <w:tblPr>
        <w:tblStyle w:val="7"/>
        <w:tblW w:w="9345" w:type="dxa"/>
        <w:jc w:val="center"/>
        <w:tblLayout w:type="fixed"/>
        <w:tblCellMar>
          <w:top w:w="0" w:type="dxa"/>
          <w:left w:w="10" w:type="dxa"/>
          <w:bottom w:w="0" w:type="dxa"/>
          <w:right w:w="10" w:type="dxa"/>
        </w:tblCellMar>
      </w:tblPr>
      <w:tblGrid>
        <w:gridCol w:w="1035"/>
        <w:gridCol w:w="1635"/>
        <w:gridCol w:w="1575"/>
        <w:gridCol w:w="2550"/>
        <w:gridCol w:w="2550"/>
      </w:tblGrid>
      <w:tr>
        <w:tblPrEx>
          <w:tblCellMar>
            <w:top w:w="0" w:type="dxa"/>
            <w:left w:w="10" w:type="dxa"/>
            <w:bottom w:w="0" w:type="dxa"/>
            <w:right w:w="10" w:type="dxa"/>
          </w:tblCellMar>
        </w:tblPrEx>
        <w:trPr>
          <w:trHeight w:val="705" w:hRule="exact"/>
          <w:jc w:val="center"/>
        </w:trPr>
        <w:tc>
          <w:tcPr>
            <w:tcW w:w="1035" w:type="dxa"/>
            <w:tcBorders>
              <w:top w:val="single" w:color="auto" w:sz="4" w:space="0"/>
              <w:left w:val="single" w:color="auto" w:sz="4" w:space="0"/>
            </w:tcBorders>
            <w:shd w:val="clear" w:color="auto" w:fill="FFFFFF"/>
            <w:vAlign w:val="center"/>
          </w:tcPr>
          <w:p>
            <w:pPr>
              <w:pStyle w:val="27"/>
              <w:spacing w:after="0" w:line="240" w:lineRule="auto"/>
              <w:ind w:firstLine="0"/>
              <w:jc w:val="center"/>
            </w:pPr>
            <w:r>
              <w:rPr>
                <w:color w:val="000000"/>
              </w:rPr>
              <w:t>序号</w:t>
            </w:r>
          </w:p>
        </w:tc>
        <w:tc>
          <w:tcPr>
            <w:tcW w:w="1635" w:type="dxa"/>
            <w:tcBorders>
              <w:top w:val="single" w:color="auto" w:sz="4" w:space="0"/>
              <w:left w:val="single" w:color="auto" w:sz="4" w:space="0"/>
            </w:tcBorders>
            <w:shd w:val="clear" w:color="auto" w:fill="FFFFFF"/>
            <w:vAlign w:val="center"/>
          </w:tcPr>
          <w:p>
            <w:pPr>
              <w:pStyle w:val="27"/>
              <w:spacing w:after="0" w:line="240" w:lineRule="auto"/>
              <w:ind w:firstLine="0"/>
              <w:jc w:val="center"/>
            </w:pPr>
            <w:r>
              <w:rPr>
                <w:rFonts w:hint="eastAsia"/>
                <w:color w:val="000000"/>
                <w:lang w:val="en-US" w:eastAsia="zh-CN"/>
              </w:rPr>
              <w:t>产品</w:t>
            </w:r>
            <w:r>
              <w:rPr>
                <w:color w:val="000000"/>
              </w:rPr>
              <w:t>名称</w:t>
            </w:r>
          </w:p>
        </w:tc>
        <w:tc>
          <w:tcPr>
            <w:tcW w:w="1575" w:type="dxa"/>
            <w:tcBorders>
              <w:top w:val="single" w:color="auto" w:sz="4" w:space="0"/>
              <w:left w:val="single" w:color="auto" w:sz="4" w:space="0"/>
            </w:tcBorders>
            <w:shd w:val="clear" w:color="auto" w:fill="FFFFFF"/>
            <w:vAlign w:val="center"/>
          </w:tcPr>
          <w:p>
            <w:pPr>
              <w:pStyle w:val="27"/>
              <w:spacing w:after="0" w:line="240" w:lineRule="auto"/>
              <w:ind w:firstLine="0"/>
              <w:jc w:val="center"/>
              <w:rPr>
                <w:rFonts w:hint="default" w:eastAsia="宋体"/>
                <w:lang w:val="en-US" w:eastAsia="zh-CN"/>
              </w:rPr>
            </w:pPr>
            <w:r>
              <w:rPr>
                <w:color w:val="000000"/>
              </w:rPr>
              <w:t>规格</w:t>
            </w:r>
            <w:r>
              <w:rPr>
                <w:rFonts w:hint="eastAsia"/>
                <w:color w:val="000000"/>
                <w:lang w:val="en-US" w:eastAsia="zh-CN"/>
              </w:rPr>
              <w:t>/单位</w:t>
            </w:r>
          </w:p>
        </w:tc>
        <w:tc>
          <w:tcPr>
            <w:tcW w:w="2550" w:type="dxa"/>
            <w:tcBorders>
              <w:top w:val="single" w:color="auto" w:sz="4" w:space="0"/>
              <w:left w:val="single" w:color="auto" w:sz="4" w:space="0"/>
              <w:right w:val="single" w:color="auto" w:sz="4" w:space="0"/>
            </w:tcBorders>
            <w:shd w:val="clear" w:color="auto" w:fill="FFFFFF"/>
            <w:vAlign w:val="center"/>
          </w:tcPr>
          <w:p>
            <w:pPr>
              <w:pStyle w:val="27"/>
              <w:spacing w:after="0" w:line="240" w:lineRule="auto"/>
              <w:ind w:firstLine="680"/>
              <w:jc w:val="left"/>
              <w:rPr>
                <w:rFonts w:hint="eastAsia" w:eastAsia="宋体"/>
                <w:lang w:val="en-US" w:eastAsia="zh-CN"/>
              </w:rPr>
            </w:pPr>
            <w:r>
              <w:rPr>
                <w:rFonts w:hint="eastAsia"/>
                <w:lang w:val="en-US" w:eastAsia="zh-CN"/>
              </w:rPr>
              <w:t>上控价</w:t>
            </w:r>
          </w:p>
        </w:tc>
        <w:tc>
          <w:tcPr>
            <w:tcW w:w="2550" w:type="dxa"/>
            <w:tcBorders>
              <w:top w:val="single" w:color="auto" w:sz="4" w:space="0"/>
              <w:left w:val="single" w:color="auto" w:sz="4" w:space="0"/>
              <w:right w:val="single" w:color="auto" w:sz="4" w:space="0"/>
            </w:tcBorders>
            <w:shd w:val="clear" w:color="auto" w:fill="FFFFFF"/>
            <w:vAlign w:val="center"/>
          </w:tcPr>
          <w:p>
            <w:pPr>
              <w:pStyle w:val="27"/>
              <w:spacing w:after="0" w:line="240" w:lineRule="auto"/>
              <w:ind w:firstLine="680"/>
              <w:jc w:val="left"/>
              <w:rPr>
                <w:rFonts w:hint="eastAsia" w:eastAsia="宋体"/>
                <w:color w:val="000000"/>
                <w:lang w:eastAsia="zh-CN"/>
              </w:rPr>
            </w:pPr>
            <w:r>
              <w:rPr>
                <w:color w:val="000000"/>
              </w:rPr>
              <w:t>报价（元</w:t>
            </w:r>
            <w:r>
              <w:rPr>
                <w:rFonts w:hint="eastAsia"/>
                <w:color w:val="000000"/>
                <w:lang w:eastAsia="zh-CN"/>
              </w:rPr>
              <w:t>）</w:t>
            </w:r>
          </w:p>
        </w:tc>
      </w:tr>
      <w:tr>
        <w:tblPrEx>
          <w:tblCellMar>
            <w:top w:w="0" w:type="dxa"/>
            <w:left w:w="10" w:type="dxa"/>
            <w:bottom w:w="0" w:type="dxa"/>
            <w:right w:w="10" w:type="dxa"/>
          </w:tblCellMar>
        </w:tblPrEx>
        <w:trPr>
          <w:trHeight w:val="675" w:hRule="exact"/>
          <w:jc w:val="center"/>
        </w:trPr>
        <w:tc>
          <w:tcPr>
            <w:tcW w:w="1035" w:type="dxa"/>
            <w:tcBorders>
              <w:top w:val="single" w:color="auto" w:sz="4" w:space="0"/>
              <w:left w:val="single" w:color="auto" w:sz="4" w:space="0"/>
            </w:tcBorders>
            <w:shd w:val="clear" w:color="auto" w:fill="FFFFFF"/>
          </w:tcPr>
          <w:p>
            <w:pPr>
              <w:rPr>
                <w:sz w:val="10"/>
                <w:szCs w:val="10"/>
              </w:rPr>
            </w:pPr>
          </w:p>
        </w:tc>
        <w:tc>
          <w:tcPr>
            <w:tcW w:w="1635" w:type="dxa"/>
            <w:tcBorders>
              <w:top w:val="single" w:color="auto" w:sz="4" w:space="0"/>
              <w:left w:val="single" w:color="auto" w:sz="4" w:space="0"/>
            </w:tcBorders>
            <w:shd w:val="clear" w:color="auto" w:fill="FFFFFF"/>
          </w:tcPr>
          <w:p>
            <w:pPr>
              <w:rPr>
                <w:sz w:val="10"/>
                <w:szCs w:val="10"/>
              </w:rPr>
            </w:pPr>
          </w:p>
        </w:tc>
        <w:tc>
          <w:tcPr>
            <w:tcW w:w="1575" w:type="dxa"/>
            <w:tcBorders>
              <w:top w:val="single" w:color="auto" w:sz="4" w:space="0"/>
              <w:left w:val="single" w:color="auto" w:sz="4" w:space="0"/>
            </w:tcBorders>
            <w:shd w:val="clear" w:color="auto" w:fill="FFFFFF"/>
          </w:tcPr>
          <w:p>
            <w:pPr>
              <w:rPr>
                <w:sz w:val="10"/>
                <w:szCs w:val="10"/>
              </w:rPr>
            </w:pPr>
          </w:p>
        </w:tc>
        <w:tc>
          <w:tcPr>
            <w:tcW w:w="2550" w:type="dxa"/>
            <w:tcBorders>
              <w:top w:val="single" w:color="auto" w:sz="4" w:space="0"/>
              <w:left w:val="single" w:color="auto" w:sz="4" w:space="0"/>
              <w:right w:val="single" w:color="auto" w:sz="4" w:space="0"/>
            </w:tcBorders>
            <w:shd w:val="clear" w:color="auto" w:fill="FFFFFF"/>
          </w:tcPr>
          <w:p>
            <w:pPr>
              <w:rPr>
                <w:sz w:val="10"/>
                <w:szCs w:val="10"/>
              </w:rPr>
            </w:pPr>
          </w:p>
        </w:tc>
        <w:tc>
          <w:tcPr>
            <w:tcW w:w="2550" w:type="dxa"/>
            <w:tcBorders>
              <w:top w:val="single" w:color="auto" w:sz="4" w:space="0"/>
              <w:left w:val="single" w:color="auto" w:sz="4" w:space="0"/>
              <w:right w:val="single" w:color="auto" w:sz="4" w:space="0"/>
            </w:tcBorders>
            <w:shd w:val="clear" w:color="auto" w:fill="FFFFFF"/>
          </w:tcPr>
          <w:p>
            <w:pPr>
              <w:rPr>
                <w:sz w:val="10"/>
                <w:szCs w:val="10"/>
              </w:rPr>
            </w:pPr>
          </w:p>
        </w:tc>
      </w:tr>
      <w:tr>
        <w:tblPrEx>
          <w:tblCellMar>
            <w:top w:w="0" w:type="dxa"/>
            <w:left w:w="10" w:type="dxa"/>
            <w:bottom w:w="0" w:type="dxa"/>
            <w:right w:w="10" w:type="dxa"/>
          </w:tblCellMar>
        </w:tblPrEx>
        <w:trPr>
          <w:trHeight w:val="690" w:hRule="exact"/>
          <w:jc w:val="center"/>
        </w:trPr>
        <w:tc>
          <w:tcPr>
            <w:tcW w:w="1035" w:type="dxa"/>
            <w:tcBorders>
              <w:top w:val="single" w:color="auto" w:sz="4" w:space="0"/>
              <w:left w:val="single" w:color="auto" w:sz="4" w:space="0"/>
            </w:tcBorders>
            <w:shd w:val="clear" w:color="auto" w:fill="FFFFFF"/>
          </w:tcPr>
          <w:p>
            <w:pPr>
              <w:rPr>
                <w:sz w:val="10"/>
                <w:szCs w:val="10"/>
              </w:rPr>
            </w:pPr>
          </w:p>
        </w:tc>
        <w:tc>
          <w:tcPr>
            <w:tcW w:w="1635" w:type="dxa"/>
            <w:tcBorders>
              <w:top w:val="single" w:color="auto" w:sz="4" w:space="0"/>
              <w:left w:val="single" w:color="auto" w:sz="4" w:space="0"/>
            </w:tcBorders>
            <w:shd w:val="clear" w:color="auto" w:fill="FFFFFF"/>
          </w:tcPr>
          <w:p>
            <w:pPr>
              <w:rPr>
                <w:sz w:val="10"/>
                <w:szCs w:val="10"/>
              </w:rPr>
            </w:pPr>
          </w:p>
        </w:tc>
        <w:tc>
          <w:tcPr>
            <w:tcW w:w="1575" w:type="dxa"/>
            <w:tcBorders>
              <w:top w:val="single" w:color="auto" w:sz="4" w:space="0"/>
              <w:left w:val="single" w:color="auto" w:sz="4" w:space="0"/>
            </w:tcBorders>
            <w:shd w:val="clear" w:color="auto" w:fill="FFFFFF"/>
          </w:tcPr>
          <w:p>
            <w:pPr>
              <w:rPr>
                <w:sz w:val="10"/>
                <w:szCs w:val="10"/>
              </w:rPr>
            </w:pPr>
          </w:p>
        </w:tc>
        <w:tc>
          <w:tcPr>
            <w:tcW w:w="2550" w:type="dxa"/>
            <w:tcBorders>
              <w:top w:val="single" w:color="auto" w:sz="4" w:space="0"/>
              <w:left w:val="single" w:color="auto" w:sz="4" w:space="0"/>
              <w:right w:val="single" w:color="auto" w:sz="4" w:space="0"/>
            </w:tcBorders>
            <w:shd w:val="clear" w:color="auto" w:fill="FFFFFF"/>
          </w:tcPr>
          <w:p>
            <w:pPr>
              <w:rPr>
                <w:sz w:val="10"/>
                <w:szCs w:val="10"/>
              </w:rPr>
            </w:pPr>
          </w:p>
        </w:tc>
        <w:tc>
          <w:tcPr>
            <w:tcW w:w="2550" w:type="dxa"/>
            <w:tcBorders>
              <w:top w:val="single" w:color="auto" w:sz="4" w:space="0"/>
              <w:left w:val="single" w:color="auto" w:sz="4" w:space="0"/>
              <w:right w:val="single" w:color="auto" w:sz="4" w:space="0"/>
            </w:tcBorders>
            <w:shd w:val="clear" w:color="auto" w:fill="FFFFFF"/>
          </w:tcPr>
          <w:p>
            <w:pPr>
              <w:rPr>
                <w:sz w:val="10"/>
                <w:szCs w:val="10"/>
              </w:rPr>
            </w:pPr>
          </w:p>
        </w:tc>
      </w:tr>
      <w:tr>
        <w:tblPrEx>
          <w:tblCellMar>
            <w:top w:w="0" w:type="dxa"/>
            <w:left w:w="10" w:type="dxa"/>
            <w:bottom w:w="0" w:type="dxa"/>
            <w:right w:w="10" w:type="dxa"/>
          </w:tblCellMar>
        </w:tblPrEx>
        <w:trPr>
          <w:trHeight w:val="675" w:hRule="exact"/>
          <w:jc w:val="center"/>
        </w:trPr>
        <w:tc>
          <w:tcPr>
            <w:tcW w:w="1035" w:type="dxa"/>
            <w:tcBorders>
              <w:top w:val="single" w:color="auto" w:sz="4" w:space="0"/>
              <w:left w:val="single" w:color="auto" w:sz="4" w:space="0"/>
            </w:tcBorders>
            <w:shd w:val="clear" w:color="auto" w:fill="FFFFFF"/>
          </w:tcPr>
          <w:p>
            <w:pPr>
              <w:rPr>
                <w:sz w:val="10"/>
                <w:szCs w:val="10"/>
              </w:rPr>
            </w:pPr>
          </w:p>
        </w:tc>
        <w:tc>
          <w:tcPr>
            <w:tcW w:w="1635" w:type="dxa"/>
            <w:tcBorders>
              <w:top w:val="single" w:color="auto" w:sz="4" w:space="0"/>
              <w:left w:val="single" w:color="auto" w:sz="4" w:space="0"/>
            </w:tcBorders>
            <w:shd w:val="clear" w:color="auto" w:fill="FFFFFF"/>
          </w:tcPr>
          <w:p>
            <w:pPr>
              <w:rPr>
                <w:sz w:val="10"/>
                <w:szCs w:val="10"/>
              </w:rPr>
            </w:pPr>
          </w:p>
        </w:tc>
        <w:tc>
          <w:tcPr>
            <w:tcW w:w="1575" w:type="dxa"/>
            <w:tcBorders>
              <w:top w:val="single" w:color="auto" w:sz="4" w:space="0"/>
              <w:left w:val="single" w:color="auto" w:sz="4" w:space="0"/>
            </w:tcBorders>
            <w:shd w:val="clear" w:color="auto" w:fill="FFFFFF"/>
          </w:tcPr>
          <w:p>
            <w:pPr>
              <w:rPr>
                <w:sz w:val="10"/>
                <w:szCs w:val="10"/>
              </w:rPr>
            </w:pPr>
          </w:p>
        </w:tc>
        <w:tc>
          <w:tcPr>
            <w:tcW w:w="2550" w:type="dxa"/>
            <w:tcBorders>
              <w:top w:val="single" w:color="auto" w:sz="4" w:space="0"/>
              <w:left w:val="single" w:color="auto" w:sz="4" w:space="0"/>
              <w:right w:val="single" w:color="auto" w:sz="4" w:space="0"/>
            </w:tcBorders>
            <w:shd w:val="clear" w:color="auto" w:fill="FFFFFF"/>
          </w:tcPr>
          <w:p>
            <w:pPr>
              <w:rPr>
                <w:sz w:val="10"/>
                <w:szCs w:val="10"/>
              </w:rPr>
            </w:pPr>
          </w:p>
        </w:tc>
        <w:tc>
          <w:tcPr>
            <w:tcW w:w="2550" w:type="dxa"/>
            <w:tcBorders>
              <w:top w:val="single" w:color="auto" w:sz="4" w:space="0"/>
              <w:left w:val="single" w:color="auto" w:sz="4" w:space="0"/>
              <w:right w:val="single" w:color="auto" w:sz="4" w:space="0"/>
            </w:tcBorders>
            <w:shd w:val="clear" w:color="auto" w:fill="FFFFFF"/>
          </w:tcPr>
          <w:p>
            <w:pPr>
              <w:rPr>
                <w:sz w:val="10"/>
                <w:szCs w:val="10"/>
              </w:rPr>
            </w:pPr>
          </w:p>
        </w:tc>
      </w:tr>
      <w:tr>
        <w:tblPrEx>
          <w:tblCellMar>
            <w:top w:w="0" w:type="dxa"/>
            <w:left w:w="10" w:type="dxa"/>
            <w:bottom w:w="0" w:type="dxa"/>
            <w:right w:w="10" w:type="dxa"/>
          </w:tblCellMar>
        </w:tblPrEx>
        <w:trPr>
          <w:trHeight w:val="675" w:hRule="exact"/>
          <w:jc w:val="center"/>
        </w:trPr>
        <w:tc>
          <w:tcPr>
            <w:tcW w:w="1035" w:type="dxa"/>
            <w:tcBorders>
              <w:top w:val="single" w:color="auto" w:sz="4" w:space="0"/>
              <w:left w:val="single" w:color="auto" w:sz="4" w:space="0"/>
            </w:tcBorders>
            <w:shd w:val="clear" w:color="auto" w:fill="FFFFFF"/>
          </w:tcPr>
          <w:p>
            <w:pPr>
              <w:rPr>
                <w:sz w:val="10"/>
                <w:szCs w:val="10"/>
              </w:rPr>
            </w:pPr>
          </w:p>
        </w:tc>
        <w:tc>
          <w:tcPr>
            <w:tcW w:w="1635" w:type="dxa"/>
            <w:tcBorders>
              <w:top w:val="single" w:color="auto" w:sz="4" w:space="0"/>
              <w:left w:val="single" w:color="auto" w:sz="4" w:space="0"/>
            </w:tcBorders>
            <w:shd w:val="clear" w:color="auto" w:fill="FFFFFF"/>
          </w:tcPr>
          <w:p>
            <w:pPr>
              <w:rPr>
                <w:sz w:val="10"/>
                <w:szCs w:val="10"/>
              </w:rPr>
            </w:pPr>
          </w:p>
        </w:tc>
        <w:tc>
          <w:tcPr>
            <w:tcW w:w="1575" w:type="dxa"/>
            <w:tcBorders>
              <w:top w:val="single" w:color="auto" w:sz="4" w:space="0"/>
              <w:left w:val="single" w:color="auto" w:sz="4" w:space="0"/>
            </w:tcBorders>
            <w:shd w:val="clear" w:color="auto" w:fill="FFFFFF"/>
          </w:tcPr>
          <w:p>
            <w:pPr>
              <w:rPr>
                <w:sz w:val="10"/>
                <w:szCs w:val="10"/>
              </w:rPr>
            </w:pPr>
          </w:p>
        </w:tc>
        <w:tc>
          <w:tcPr>
            <w:tcW w:w="2550" w:type="dxa"/>
            <w:tcBorders>
              <w:top w:val="single" w:color="auto" w:sz="4" w:space="0"/>
              <w:left w:val="single" w:color="auto" w:sz="4" w:space="0"/>
              <w:right w:val="single" w:color="auto" w:sz="4" w:space="0"/>
            </w:tcBorders>
            <w:shd w:val="clear" w:color="auto" w:fill="FFFFFF"/>
          </w:tcPr>
          <w:p>
            <w:pPr>
              <w:rPr>
                <w:sz w:val="10"/>
                <w:szCs w:val="10"/>
              </w:rPr>
            </w:pPr>
          </w:p>
        </w:tc>
        <w:tc>
          <w:tcPr>
            <w:tcW w:w="2550" w:type="dxa"/>
            <w:tcBorders>
              <w:top w:val="single" w:color="auto" w:sz="4" w:space="0"/>
              <w:left w:val="single" w:color="auto" w:sz="4" w:space="0"/>
              <w:right w:val="single" w:color="auto" w:sz="4" w:space="0"/>
            </w:tcBorders>
            <w:shd w:val="clear" w:color="auto" w:fill="FFFFFF"/>
          </w:tcPr>
          <w:p>
            <w:pPr>
              <w:rPr>
                <w:sz w:val="10"/>
                <w:szCs w:val="10"/>
              </w:rPr>
            </w:pPr>
          </w:p>
        </w:tc>
      </w:tr>
      <w:tr>
        <w:tblPrEx>
          <w:tblCellMar>
            <w:top w:w="0" w:type="dxa"/>
            <w:left w:w="10" w:type="dxa"/>
            <w:bottom w:w="0" w:type="dxa"/>
            <w:right w:w="10" w:type="dxa"/>
          </w:tblCellMar>
        </w:tblPrEx>
        <w:trPr>
          <w:trHeight w:val="675" w:hRule="exact"/>
          <w:jc w:val="center"/>
        </w:trPr>
        <w:tc>
          <w:tcPr>
            <w:tcW w:w="1035" w:type="dxa"/>
            <w:tcBorders>
              <w:top w:val="single" w:color="auto" w:sz="4" w:space="0"/>
              <w:left w:val="single" w:color="auto" w:sz="4" w:space="0"/>
            </w:tcBorders>
            <w:shd w:val="clear" w:color="auto" w:fill="FFFFFF"/>
          </w:tcPr>
          <w:p>
            <w:pPr>
              <w:rPr>
                <w:sz w:val="10"/>
                <w:szCs w:val="10"/>
              </w:rPr>
            </w:pPr>
          </w:p>
        </w:tc>
        <w:tc>
          <w:tcPr>
            <w:tcW w:w="1635" w:type="dxa"/>
            <w:tcBorders>
              <w:top w:val="single" w:color="auto" w:sz="4" w:space="0"/>
              <w:left w:val="single" w:color="auto" w:sz="4" w:space="0"/>
            </w:tcBorders>
            <w:shd w:val="clear" w:color="auto" w:fill="FFFFFF"/>
          </w:tcPr>
          <w:p>
            <w:pPr>
              <w:rPr>
                <w:sz w:val="10"/>
                <w:szCs w:val="10"/>
              </w:rPr>
            </w:pPr>
          </w:p>
        </w:tc>
        <w:tc>
          <w:tcPr>
            <w:tcW w:w="1575" w:type="dxa"/>
            <w:tcBorders>
              <w:top w:val="single" w:color="auto" w:sz="4" w:space="0"/>
              <w:left w:val="single" w:color="auto" w:sz="4" w:space="0"/>
            </w:tcBorders>
            <w:shd w:val="clear" w:color="auto" w:fill="FFFFFF"/>
          </w:tcPr>
          <w:p>
            <w:pPr>
              <w:rPr>
                <w:sz w:val="10"/>
                <w:szCs w:val="10"/>
              </w:rPr>
            </w:pPr>
          </w:p>
        </w:tc>
        <w:tc>
          <w:tcPr>
            <w:tcW w:w="2550" w:type="dxa"/>
            <w:tcBorders>
              <w:top w:val="single" w:color="auto" w:sz="4" w:space="0"/>
              <w:left w:val="single" w:color="auto" w:sz="4" w:space="0"/>
              <w:right w:val="single" w:color="auto" w:sz="4" w:space="0"/>
            </w:tcBorders>
            <w:shd w:val="clear" w:color="auto" w:fill="FFFFFF"/>
          </w:tcPr>
          <w:p>
            <w:pPr>
              <w:rPr>
                <w:sz w:val="10"/>
                <w:szCs w:val="10"/>
              </w:rPr>
            </w:pPr>
          </w:p>
        </w:tc>
        <w:tc>
          <w:tcPr>
            <w:tcW w:w="2550" w:type="dxa"/>
            <w:tcBorders>
              <w:top w:val="single" w:color="auto" w:sz="4" w:space="0"/>
              <w:left w:val="single" w:color="auto" w:sz="4" w:space="0"/>
              <w:right w:val="single" w:color="auto" w:sz="4" w:space="0"/>
            </w:tcBorders>
            <w:shd w:val="clear" w:color="auto" w:fill="FFFFFF"/>
          </w:tcPr>
          <w:p>
            <w:pPr>
              <w:rPr>
                <w:sz w:val="10"/>
                <w:szCs w:val="10"/>
              </w:rPr>
            </w:pPr>
          </w:p>
        </w:tc>
      </w:tr>
      <w:tr>
        <w:tblPrEx>
          <w:tblCellMar>
            <w:top w:w="0" w:type="dxa"/>
            <w:left w:w="10" w:type="dxa"/>
            <w:bottom w:w="0" w:type="dxa"/>
            <w:right w:w="10" w:type="dxa"/>
          </w:tblCellMar>
        </w:tblPrEx>
        <w:trPr>
          <w:trHeight w:val="675" w:hRule="exact"/>
          <w:jc w:val="center"/>
        </w:trPr>
        <w:tc>
          <w:tcPr>
            <w:tcW w:w="1035" w:type="dxa"/>
            <w:tcBorders>
              <w:top w:val="single" w:color="auto" w:sz="4" w:space="0"/>
              <w:left w:val="single" w:color="auto" w:sz="4" w:space="0"/>
              <w:bottom w:val="single" w:color="auto" w:sz="4" w:space="0"/>
            </w:tcBorders>
            <w:shd w:val="clear" w:color="auto" w:fill="FFFFFF"/>
          </w:tcPr>
          <w:p>
            <w:pPr>
              <w:rPr>
                <w:rFonts w:ascii="宋体" w:hAnsi="宋体" w:eastAsia="宋体" w:cs="宋体"/>
                <w:color w:val="000000"/>
                <w:kern w:val="2"/>
                <w:sz w:val="20"/>
                <w:szCs w:val="20"/>
                <w:lang w:val="zh-TW" w:eastAsia="zh-TW" w:bidi="zh-TW"/>
              </w:rPr>
            </w:pPr>
          </w:p>
        </w:tc>
        <w:tc>
          <w:tcPr>
            <w:tcW w:w="1635" w:type="dxa"/>
            <w:tcBorders>
              <w:top w:val="single" w:color="auto" w:sz="4" w:space="0"/>
              <w:left w:val="single" w:color="auto" w:sz="4" w:space="0"/>
              <w:bottom w:val="single" w:color="auto" w:sz="4" w:space="0"/>
            </w:tcBorders>
            <w:shd w:val="clear" w:color="auto" w:fill="FFFFFF"/>
          </w:tcPr>
          <w:p>
            <w:pPr>
              <w:rPr>
                <w:rFonts w:ascii="宋体" w:hAnsi="宋体" w:eastAsia="宋体" w:cs="宋体"/>
                <w:color w:val="000000"/>
                <w:kern w:val="2"/>
                <w:sz w:val="20"/>
                <w:szCs w:val="20"/>
                <w:lang w:val="zh-TW" w:eastAsia="zh-TW" w:bidi="zh-TW"/>
              </w:rPr>
            </w:pPr>
          </w:p>
        </w:tc>
        <w:tc>
          <w:tcPr>
            <w:tcW w:w="1575" w:type="dxa"/>
            <w:tcBorders>
              <w:top w:val="single" w:color="auto" w:sz="4" w:space="0"/>
              <w:left w:val="single" w:color="auto" w:sz="4" w:space="0"/>
              <w:bottom w:val="single" w:color="auto" w:sz="4" w:space="0"/>
            </w:tcBorders>
            <w:shd w:val="clear" w:color="auto" w:fill="FFFFFF"/>
          </w:tcPr>
          <w:p>
            <w:pPr>
              <w:rPr>
                <w:rFonts w:ascii="宋体" w:hAnsi="宋体" w:eastAsia="宋体" w:cs="宋体"/>
                <w:color w:val="000000"/>
                <w:kern w:val="2"/>
                <w:sz w:val="20"/>
                <w:szCs w:val="20"/>
                <w:lang w:val="zh-TW" w:eastAsia="zh-TW" w:bidi="zh-TW"/>
              </w:rPr>
            </w:pPr>
          </w:p>
        </w:tc>
        <w:tc>
          <w:tcPr>
            <w:tcW w:w="2550" w:type="dxa"/>
            <w:tcBorders>
              <w:top w:val="single" w:color="auto" w:sz="4" w:space="0"/>
              <w:left w:val="single" w:color="auto" w:sz="4" w:space="0"/>
              <w:bottom w:val="single" w:color="auto" w:sz="4" w:space="0"/>
              <w:right w:val="single" w:color="auto" w:sz="4" w:space="0"/>
            </w:tcBorders>
            <w:shd w:val="clear" w:color="auto" w:fill="FFFFFF"/>
          </w:tcPr>
          <w:p>
            <w:pPr>
              <w:rPr>
                <w:rFonts w:ascii="宋体" w:hAnsi="宋体" w:eastAsia="宋体" w:cs="宋体"/>
                <w:color w:val="000000"/>
                <w:kern w:val="2"/>
                <w:sz w:val="20"/>
                <w:szCs w:val="20"/>
                <w:lang w:val="zh-TW" w:eastAsia="zh-TW" w:bidi="zh-TW"/>
              </w:rPr>
            </w:pPr>
          </w:p>
        </w:tc>
        <w:tc>
          <w:tcPr>
            <w:tcW w:w="2550"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rPr>
            </w:pPr>
          </w:p>
        </w:tc>
      </w:tr>
      <w:tr>
        <w:tblPrEx>
          <w:tblCellMar>
            <w:top w:w="0" w:type="dxa"/>
            <w:left w:w="10" w:type="dxa"/>
            <w:bottom w:w="0" w:type="dxa"/>
            <w:right w:w="10" w:type="dxa"/>
          </w:tblCellMar>
        </w:tblPrEx>
        <w:trPr>
          <w:trHeight w:val="279" w:hRule="exact"/>
          <w:jc w:val="center"/>
        </w:trPr>
        <w:tc>
          <w:tcPr>
            <w:tcW w:w="6795" w:type="dxa"/>
            <w:gridSpan w:val="4"/>
            <w:tcBorders>
              <w:top w:val="single" w:color="auto" w:sz="4" w:space="0"/>
              <w:left w:val="single" w:color="auto" w:sz="4" w:space="0"/>
              <w:bottom w:val="single" w:color="auto" w:sz="4" w:space="0"/>
              <w:right w:val="single" w:color="auto" w:sz="4" w:space="0"/>
            </w:tcBorders>
            <w:shd w:val="clear" w:color="auto" w:fill="FFFFFF"/>
          </w:tcPr>
          <w:p>
            <w:pPr>
              <w:jc w:val="right"/>
              <w:rPr>
                <w:rFonts w:hint="eastAsia" w:ascii="宋体" w:hAnsi="宋体" w:eastAsia="宋体" w:cs="宋体"/>
                <w:color w:val="000000"/>
                <w:kern w:val="2"/>
                <w:sz w:val="20"/>
                <w:szCs w:val="20"/>
                <w:lang w:val="en-US" w:eastAsia="zh-CN" w:bidi="zh-TW"/>
              </w:rPr>
            </w:pPr>
            <w:r>
              <w:rPr>
                <w:rFonts w:hint="eastAsia" w:ascii="宋体" w:hAnsi="宋体" w:eastAsia="宋体" w:cs="宋体"/>
                <w:color w:val="000000"/>
                <w:kern w:val="2"/>
                <w:sz w:val="20"/>
                <w:szCs w:val="20"/>
                <w:lang w:val="en-US" w:eastAsia="zh-CN" w:bidi="zh-TW"/>
              </w:rPr>
              <w:t>合计：</w:t>
            </w:r>
          </w:p>
        </w:tc>
        <w:tc>
          <w:tcPr>
            <w:tcW w:w="2550"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rPr>
            </w:pPr>
          </w:p>
        </w:tc>
      </w:tr>
    </w:tbl>
    <w:p>
      <w:pPr>
        <w:pStyle w:val="25"/>
        <w:spacing w:line="441" w:lineRule="exact"/>
        <w:ind w:firstLine="440"/>
        <w:jc w:val="left"/>
        <w:rPr>
          <w:color w:val="000000"/>
        </w:rPr>
      </w:pPr>
      <w:r>
        <w:rPr>
          <w:color w:val="000000"/>
        </w:rPr>
        <w:t>注：总价包含完成</w:t>
      </w:r>
      <w:r>
        <w:rPr>
          <w:rFonts w:hint="eastAsia"/>
          <w:color w:val="000000"/>
          <w:lang w:val="en-US" w:eastAsia="zh-CN"/>
        </w:rPr>
        <w:t>配送</w:t>
      </w:r>
      <w:r>
        <w:rPr>
          <w:color w:val="000000"/>
        </w:rPr>
        <w:t>并达到采购人要求后的全部费用</w:t>
      </w:r>
    </w:p>
    <w:p>
      <w:pPr>
        <w:pStyle w:val="25"/>
        <w:spacing w:line="441" w:lineRule="exact"/>
        <w:ind w:firstLine="440"/>
        <w:jc w:val="left"/>
        <w:rPr>
          <w:color w:val="000000"/>
        </w:rPr>
      </w:pPr>
    </w:p>
    <w:p>
      <w:pPr>
        <w:pStyle w:val="25"/>
        <w:spacing w:line="441" w:lineRule="exact"/>
        <w:ind w:firstLine="440"/>
        <w:jc w:val="left"/>
        <w:rPr>
          <w:color w:val="000000"/>
        </w:rPr>
      </w:pPr>
    </w:p>
    <w:p>
      <w:pPr>
        <w:pStyle w:val="25"/>
        <w:spacing w:line="441" w:lineRule="exact"/>
        <w:ind w:firstLine="440"/>
        <w:jc w:val="left"/>
        <w:rPr>
          <w:color w:val="000000"/>
        </w:rPr>
      </w:pPr>
    </w:p>
    <w:p>
      <w:pPr>
        <w:pStyle w:val="25"/>
        <w:spacing w:line="240" w:lineRule="auto"/>
        <w:ind w:firstLine="0"/>
        <w:jc w:val="left"/>
      </w:pPr>
      <w:r>
        <w:rPr>
          <w:color w:val="000000"/>
        </w:rPr>
        <w:t>供应商：（盖章）</w:t>
      </w:r>
    </w:p>
    <w:p>
      <w:pPr>
        <w:pStyle w:val="25"/>
        <w:spacing w:line="240" w:lineRule="auto"/>
        <w:ind w:firstLine="0"/>
        <w:jc w:val="left"/>
      </w:pPr>
      <w:r>
        <w:rPr>
          <w:color w:val="000000"/>
        </w:rPr>
        <w:t>法定代表人或授权委托人：（签字或盖章）</w:t>
      </w:r>
    </w:p>
    <w:p>
      <w:pPr>
        <w:pStyle w:val="25"/>
        <w:spacing w:line="240" w:lineRule="auto"/>
        <w:ind w:left="1100" w:firstLine="0"/>
        <w:jc w:val="right"/>
        <w:rPr>
          <w:rFonts w:hAnsi="Courier New" w:cs="Calibri"/>
          <w:b/>
          <w:color w:val="000000"/>
          <w:sz w:val="32"/>
          <w:szCs w:val="32"/>
        </w:rPr>
      </w:pPr>
      <w:r>
        <w:rPr>
          <w:color w:val="000000"/>
        </w:rPr>
        <w:t xml:space="preserve">年 </w:t>
      </w:r>
      <w:r>
        <w:rPr>
          <w:color w:val="000000"/>
          <w:lang w:val="zh-CN" w:eastAsia="zh-CN" w:bidi="zh-CN"/>
        </w:rPr>
        <w:t>月</w:t>
      </w:r>
      <w:r>
        <w:rPr>
          <w:rFonts w:hint="eastAsia"/>
          <w:color w:val="000000"/>
          <w:lang w:val="en-US" w:eastAsia="zh-CN" w:bidi="zh-CN"/>
        </w:rPr>
        <w:t xml:space="preserve"> 日</w:t>
      </w:r>
    </w:p>
    <w:p>
      <w:pPr>
        <w:spacing w:before="312" w:beforeLines="100" w:after="156" w:afterLines="50" w:line="520" w:lineRule="exact"/>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7"/>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254970729"/>
            <w:r>
              <w:rPr>
                <w:rFonts w:hint="eastAsia" w:ascii="仿宋_GB2312" w:hAnsi="Times New Roman" w:eastAsia="仿宋_GB2312" w:cs="Times New Roman"/>
                <w:color w:val="000000"/>
                <w:sz w:val="32"/>
                <w:szCs w:val="32"/>
              </w:rPr>
              <w:t>序号</w:t>
            </w:r>
            <w:bookmarkEnd w:id="16"/>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295404982"/>
            <w:r>
              <w:rPr>
                <w:rFonts w:hint="eastAsia" w:ascii="仿宋_GB2312" w:hAnsi="Times New Roman" w:eastAsia="仿宋_GB2312" w:cs="Times New Roman"/>
                <w:color w:val="000000"/>
                <w:sz w:val="32"/>
                <w:szCs w:val="32"/>
              </w:rPr>
              <w:t>竞争性磋商文件</w:t>
            </w:r>
            <w:bookmarkEnd w:id="17"/>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173211902"/>
            <w:r>
              <w:rPr>
                <w:rFonts w:hint="eastAsia" w:ascii="仿宋_GB2312" w:hAnsi="Times New Roman" w:eastAsia="仿宋_GB2312" w:cs="Times New Roman"/>
                <w:color w:val="000000"/>
                <w:sz w:val="32"/>
                <w:szCs w:val="32"/>
              </w:rPr>
              <w:t>响应文件具体响应</w:t>
            </w:r>
            <w:bookmarkEnd w:id="18"/>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173066404"/>
            <w:r>
              <w:rPr>
                <w:rFonts w:hint="eastAsia" w:ascii="仿宋_GB2312" w:hAnsi="Times New Roman" w:eastAsia="仿宋_GB2312" w:cs="Times New Roman"/>
                <w:color w:val="000000"/>
                <w:sz w:val="32"/>
                <w:szCs w:val="32"/>
              </w:rPr>
              <w:t>响应/偏离</w:t>
            </w:r>
            <w:bookmarkEnd w:id="19"/>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254970733"/>
            <w:r>
              <w:rPr>
                <w:rFonts w:hint="eastAsia" w:ascii="仿宋_GB2312" w:hAnsi="Times New Roman" w:eastAsia="仿宋_GB2312" w:cs="Times New Roman"/>
                <w:color w:val="000000"/>
                <w:sz w:val="32"/>
                <w:szCs w:val="32"/>
              </w:rPr>
              <w:t>说明</w:t>
            </w:r>
            <w:bookmarkEnd w:id="20"/>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383699911"/>
            <w:r>
              <w:rPr>
                <w:rFonts w:hint="eastAsia" w:ascii="仿宋_GB2312" w:hAnsi="Times New Roman" w:eastAsia="仿宋_GB2312" w:cs="Times New Roman"/>
                <w:color w:val="000000"/>
                <w:sz w:val="32"/>
                <w:szCs w:val="32"/>
              </w:rPr>
              <w:t>1</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373333695"/>
            <w:r>
              <w:rPr>
                <w:rFonts w:hint="eastAsia" w:ascii="仿宋_GB2312" w:hAnsi="Times New Roman" w:eastAsia="仿宋_GB2312" w:cs="Times New Roman"/>
                <w:color w:val="000000"/>
                <w:sz w:val="32"/>
                <w:szCs w:val="32"/>
              </w:rPr>
              <w:t>2</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173066408"/>
            <w:r>
              <w:rPr>
                <w:rFonts w:hint="eastAsia" w:ascii="仿宋_GB2312" w:hAnsi="Times New Roman" w:eastAsia="仿宋_GB2312" w:cs="Times New Roman"/>
                <w:color w:val="000000"/>
                <w:sz w:val="32"/>
                <w:szCs w:val="32"/>
              </w:rPr>
              <w:t>3</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297193193"/>
            <w:r>
              <w:rPr>
                <w:rFonts w:hint="eastAsia" w:ascii="仿宋_GB2312" w:hAnsi="Times New Roman" w:eastAsia="仿宋_GB2312" w:cs="Times New Roman"/>
                <w:color w:val="000000"/>
                <w:sz w:val="32"/>
                <w:szCs w:val="32"/>
              </w:rPr>
              <w:t>4</w:t>
            </w:r>
            <w:bookmarkEnd w:id="24"/>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5" w:name="_Toc254970597"/>
            <w:r>
              <w:rPr>
                <w:rFonts w:hint="eastAsia" w:ascii="仿宋_GB2312" w:hAnsi="Times New Roman" w:eastAsia="仿宋_GB2312" w:cs="Times New Roman"/>
                <w:color w:val="000000"/>
                <w:sz w:val="32"/>
                <w:szCs w:val="32"/>
              </w:rPr>
              <w:t>5</w:t>
            </w:r>
            <w:bookmarkEnd w:id="25"/>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6" w:name="_Toc373333699"/>
            <w:r>
              <w:rPr>
                <w:rFonts w:hint="eastAsia" w:ascii="仿宋_GB2312" w:hAnsi="Times New Roman" w:eastAsia="仿宋_GB2312" w:cs="Times New Roman"/>
                <w:color w:val="000000"/>
                <w:sz w:val="32"/>
                <w:szCs w:val="32"/>
              </w:rPr>
              <w:t>…</w:t>
            </w:r>
            <w:bookmarkEnd w:id="26"/>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p>
    <w:p>
      <w:pPr>
        <w:snapToGrid w:val="0"/>
        <w:spacing w:before="120"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lang w:val="en-US" w:eastAsia="zh-CN"/>
        </w:rPr>
        <w:t>二</w:t>
      </w:r>
      <w:r>
        <w:rPr>
          <w:rFonts w:hint="eastAsia" w:ascii="宋体" w:hAnsi="宋体" w:eastAsia="宋体" w:cs="Calibri"/>
          <w:b/>
          <w:bCs/>
          <w:color w:val="000000"/>
          <w:sz w:val="32"/>
          <w:szCs w:val="32"/>
        </w:rPr>
        <w:t>、资格证明文件格式</w:t>
      </w:r>
    </w:p>
    <w:p>
      <w:pPr>
        <w:snapToGrid w:val="0"/>
        <w:spacing w:before="120"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20"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20"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20"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20"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20"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20"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61B302"/>
    <w:multiLevelType w:val="singleLevel"/>
    <w:tmpl w:val="A961B302"/>
    <w:lvl w:ilvl="0" w:tentative="0">
      <w:start w:val="1"/>
      <w:numFmt w:val="decimal"/>
      <w:lvlText w:val="%1."/>
      <w:lvlJc w:val="left"/>
      <w:pPr>
        <w:tabs>
          <w:tab w:val="left" w:pos="312"/>
        </w:tabs>
      </w:pPr>
    </w:lvl>
  </w:abstractNum>
  <w:abstractNum w:abstractNumId="1">
    <w:nsid w:val="0BED5706"/>
    <w:multiLevelType w:val="singleLevel"/>
    <w:tmpl w:val="0BED5706"/>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0E7"/>
    <w:rsid w:val="0000112F"/>
    <w:rsid w:val="00034A2D"/>
    <w:rsid w:val="00040FB8"/>
    <w:rsid w:val="00057A98"/>
    <w:rsid w:val="00084F64"/>
    <w:rsid w:val="00095A9E"/>
    <w:rsid w:val="000C7845"/>
    <w:rsid w:val="000E7D02"/>
    <w:rsid w:val="000F1407"/>
    <w:rsid w:val="000F1777"/>
    <w:rsid w:val="00114539"/>
    <w:rsid w:val="00121AC4"/>
    <w:rsid w:val="001407E6"/>
    <w:rsid w:val="001947FD"/>
    <w:rsid w:val="001A09D8"/>
    <w:rsid w:val="001C2CC7"/>
    <w:rsid w:val="001C6C2E"/>
    <w:rsid w:val="001E068C"/>
    <w:rsid w:val="001E3760"/>
    <w:rsid w:val="00211BC0"/>
    <w:rsid w:val="00221713"/>
    <w:rsid w:val="0029431F"/>
    <w:rsid w:val="002943A1"/>
    <w:rsid w:val="002A654A"/>
    <w:rsid w:val="002B4E43"/>
    <w:rsid w:val="002D2574"/>
    <w:rsid w:val="002E5099"/>
    <w:rsid w:val="003059E8"/>
    <w:rsid w:val="00327155"/>
    <w:rsid w:val="00336A70"/>
    <w:rsid w:val="00342228"/>
    <w:rsid w:val="00345625"/>
    <w:rsid w:val="0037196F"/>
    <w:rsid w:val="00387E5B"/>
    <w:rsid w:val="00394748"/>
    <w:rsid w:val="00395120"/>
    <w:rsid w:val="003A5090"/>
    <w:rsid w:val="003E6D85"/>
    <w:rsid w:val="00420458"/>
    <w:rsid w:val="00424DF9"/>
    <w:rsid w:val="004261FD"/>
    <w:rsid w:val="0043312E"/>
    <w:rsid w:val="00467B87"/>
    <w:rsid w:val="00475ACF"/>
    <w:rsid w:val="0049122E"/>
    <w:rsid w:val="004970E7"/>
    <w:rsid w:val="004B36A3"/>
    <w:rsid w:val="004B5BED"/>
    <w:rsid w:val="004B7907"/>
    <w:rsid w:val="004C1900"/>
    <w:rsid w:val="004E4867"/>
    <w:rsid w:val="00522BAE"/>
    <w:rsid w:val="005467AF"/>
    <w:rsid w:val="0055706B"/>
    <w:rsid w:val="005904DC"/>
    <w:rsid w:val="00590FB2"/>
    <w:rsid w:val="00596758"/>
    <w:rsid w:val="005A3E00"/>
    <w:rsid w:val="005B5BDB"/>
    <w:rsid w:val="005E5076"/>
    <w:rsid w:val="006208AC"/>
    <w:rsid w:val="0064134D"/>
    <w:rsid w:val="006728BD"/>
    <w:rsid w:val="00677924"/>
    <w:rsid w:val="006A39CA"/>
    <w:rsid w:val="006C1533"/>
    <w:rsid w:val="006C5852"/>
    <w:rsid w:val="006D6959"/>
    <w:rsid w:val="006E0D75"/>
    <w:rsid w:val="006F31FF"/>
    <w:rsid w:val="00701B9C"/>
    <w:rsid w:val="0070309E"/>
    <w:rsid w:val="00725A52"/>
    <w:rsid w:val="00732FF0"/>
    <w:rsid w:val="00740BD6"/>
    <w:rsid w:val="00746451"/>
    <w:rsid w:val="00764A4F"/>
    <w:rsid w:val="00771229"/>
    <w:rsid w:val="00783109"/>
    <w:rsid w:val="00795F07"/>
    <w:rsid w:val="007B02BA"/>
    <w:rsid w:val="007B0F96"/>
    <w:rsid w:val="007B1D4B"/>
    <w:rsid w:val="00804931"/>
    <w:rsid w:val="00851441"/>
    <w:rsid w:val="00876610"/>
    <w:rsid w:val="008B0597"/>
    <w:rsid w:val="008B759C"/>
    <w:rsid w:val="008C728A"/>
    <w:rsid w:val="008D1A95"/>
    <w:rsid w:val="009123EC"/>
    <w:rsid w:val="00914286"/>
    <w:rsid w:val="009149DA"/>
    <w:rsid w:val="00927326"/>
    <w:rsid w:val="009535DF"/>
    <w:rsid w:val="009A28A4"/>
    <w:rsid w:val="009B1BE3"/>
    <w:rsid w:val="00A1363E"/>
    <w:rsid w:val="00A31622"/>
    <w:rsid w:val="00A44221"/>
    <w:rsid w:val="00A53207"/>
    <w:rsid w:val="00A554F0"/>
    <w:rsid w:val="00A6578C"/>
    <w:rsid w:val="00A70F25"/>
    <w:rsid w:val="00A71DF9"/>
    <w:rsid w:val="00A74200"/>
    <w:rsid w:val="00A94F5A"/>
    <w:rsid w:val="00AB25C4"/>
    <w:rsid w:val="00AC5952"/>
    <w:rsid w:val="00AD2115"/>
    <w:rsid w:val="00B112EA"/>
    <w:rsid w:val="00B207CB"/>
    <w:rsid w:val="00B66A6A"/>
    <w:rsid w:val="00B80DE8"/>
    <w:rsid w:val="00BA72C3"/>
    <w:rsid w:val="00BA798B"/>
    <w:rsid w:val="00BB3BE6"/>
    <w:rsid w:val="00BC7853"/>
    <w:rsid w:val="00BE6561"/>
    <w:rsid w:val="00BF0177"/>
    <w:rsid w:val="00C02C01"/>
    <w:rsid w:val="00C21E58"/>
    <w:rsid w:val="00C30370"/>
    <w:rsid w:val="00C36592"/>
    <w:rsid w:val="00C51977"/>
    <w:rsid w:val="00C722EE"/>
    <w:rsid w:val="00C7251A"/>
    <w:rsid w:val="00C87A83"/>
    <w:rsid w:val="00C87E3C"/>
    <w:rsid w:val="00CB3325"/>
    <w:rsid w:val="00CC28C7"/>
    <w:rsid w:val="00CE36F2"/>
    <w:rsid w:val="00D068D6"/>
    <w:rsid w:val="00D26D1C"/>
    <w:rsid w:val="00D346A0"/>
    <w:rsid w:val="00D505E4"/>
    <w:rsid w:val="00D63FF1"/>
    <w:rsid w:val="00D84C7E"/>
    <w:rsid w:val="00D95D8F"/>
    <w:rsid w:val="00DC2664"/>
    <w:rsid w:val="00DE69C9"/>
    <w:rsid w:val="00DF1D39"/>
    <w:rsid w:val="00E140B5"/>
    <w:rsid w:val="00E26621"/>
    <w:rsid w:val="00E526D6"/>
    <w:rsid w:val="00E61634"/>
    <w:rsid w:val="00E63D8B"/>
    <w:rsid w:val="00E832A8"/>
    <w:rsid w:val="00EB6E6F"/>
    <w:rsid w:val="00EE1BC2"/>
    <w:rsid w:val="00F1447C"/>
    <w:rsid w:val="00F47CB8"/>
    <w:rsid w:val="00F55F69"/>
    <w:rsid w:val="00F60E99"/>
    <w:rsid w:val="00F67C17"/>
    <w:rsid w:val="00F806B4"/>
    <w:rsid w:val="00F8364B"/>
    <w:rsid w:val="00F94595"/>
    <w:rsid w:val="00FA0D28"/>
    <w:rsid w:val="00FB3B21"/>
    <w:rsid w:val="00FE3298"/>
    <w:rsid w:val="022A6BF5"/>
    <w:rsid w:val="02625B16"/>
    <w:rsid w:val="07864920"/>
    <w:rsid w:val="08797E46"/>
    <w:rsid w:val="0DDF2D96"/>
    <w:rsid w:val="10CF50A9"/>
    <w:rsid w:val="17EC4843"/>
    <w:rsid w:val="19213DCC"/>
    <w:rsid w:val="20E10577"/>
    <w:rsid w:val="230C6132"/>
    <w:rsid w:val="23E922AE"/>
    <w:rsid w:val="24722845"/>
    <w:rsid w:val="267D2BB8"/>
    <w:rsid w:val="26E92D4D"/>
    <w:rsid w:val="284E26BD"/>
    <w:rsid w:val="2CD55C55"/>
    <w:rsid w:val="303D69DF"/>
    <w:rsid w:val="3BD02E0F"/>
    <w:rsid w:val="41746277"/>
    <w:rsid w:val="456F454F"/>
    <w:rsid w:val="45DB2F02"/>
    <w:rsid w:val="55690666"/>
    <w:rsid w:val="5CFC6D15"/>
    <w:rsid w:val="61E32C0F"/>
    <w:rsid w:val="6EE43534"/>
    <w:rsid w:val="76042F76"/>
    <w:rsid w:val="7D0E37F9"/>
    <w:rsid w:val="7F822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qFormat/>
    <w:uiPriority w:val="0"/>
    <w:rPr>
      <w:rFonts w:ascii="宋体" w:hAnsi="Courier New" w:eastAsia="宋体"/>
    </w:rPr>
  </w:style>
  <w:style w:type="paragraph" w:styleId="4">
    <w:name w:val="Date"/>
    <w:basedOn w:val="1"/>
    <w:next w:val="1"/>
    <w:link w:val="12"/>
    <w:semiHidden/>
    <w:unhideWhenUsed/>
    <w:qFormat/>
    <w:uiPriority w:val="99"/>
    <w:pPr>
      <w:ind w:left="100" w:leftChars="2500"/>
    </w:p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6"/>
    <w:qFormat/>
    <w:uiPriority w:val="99"/>
    <w:rPr>
      <w:sz w:val="18"/>
      <w:szCs w:val="18"/>
    </w:rPr>
  </w:style>
  <w:style w:type="character" w:customStyle="1" w:styleId="11">
    <w:name w:val="页脚 字符"/>
    <w:basedOn w:val="9"/>
    <w:link w:val="5"/>
    <w:qFormat/>
    <w:uiPriority w:val="99"/>
    <w:rPr>
      <w:sz w:val="18"/>
      <w:szCs w:val="18"/>
    </w:rPr>
  </w:style>
  <w:style w:type="character" w:customStyle="1" w:styleId="12">
    <w:name w:val="日期 字符"/>
    <w:basedOn w:val="9"/>
    <w:link w:val="4"/>
    <w:semiHidden/>
    <w:qFormat/>
    <w:uiPriority w:val="99"/>
  </w:style>
  <w:style w:type="character" w:customStyle="1" w:styleId="13">
    <w:name w:val="标题 2 字符"/>
    <w:basedOn w:val="9"/>
    <w:link w:val="2"/>
    <w:semiHidden/>
    <w:qFormat/>
    <w:uiPriority w:val="9"/>
    <w:rPr>
      <w:rFonts w:asciiTheme="majorHAnsi" w:hAnsiTheme="majorHAnsi" w:eastAsiaTheme="majorEastAsia" w:cstheme="majorBidi"/>
      <w:b/>
      <w:bCs/>
      <w:sz w:val="32"/>
      <w:szCs w:val="32"/>
    </w:rPr>
  </w:style>
  <w:style w:type="paragraph" w:styleId="14">
    <w:name w:val="List Paragraph"/>
    <w:basedOn w:val="1"/>
    <w:qFormat/>
    <w:uiPriority w:val="34"/>
    <w:pPr>
      <w:ind w:firstLine="420" w:firstLineChars="200"/>
    </w:pPr>
  </w:style>
  <w:style w:type="character" w:customStyle="1" w:styleId="15">
    <w:name w:val="font91"/>
    <w:basedOn w:val="9"/>
    <w:qFormat/>
    <w:uiPriority w:val="0"/>
    <w:rPr>
      <w:rFonts w:hint="eastAsia" w:ascii="宋体" w:hAnsi="宋体" w:eastAsia="宋体" w:cs="宋体"/>
      <w:color w:val="000000"/>
      <w:sz w:val="20"/>
      <w:szCs w:val="20"/>
      <w:u w:val="none"/>
    </w:rPr>
  </w:style>
  <w:style w:type="character" w:customStyle="1" w:styleId="16">
    <w:name w:val="font51"/>
    <w:basedOn w:val="9"/>
    <w:qFormat/>
    <w:uiPriority w:val="0"/>
    <w:rPr>
      <w:rFonts w:hint="default" w:ascii="Times New Roman" w:hAnsi="Times New Roman" w:cs="Times New Roman"/>
      <w:color w:val="000000"/>
      <w:sz w:val="20"/>
      <w:szCs w:val="20"/>
      <w:u w:val="none"/>
    </w:rPr>
  </w:style>
  <w:style w:type="character" w:customStyle="1" w:styleId="17">
    <w:name w:val="font21"/>
    <w:basedOn w:val="9"/>
    <w:qFormat/>
    <w:uiPriority w:val="0"/>
    <w:rPr>
      <w:rFonts w:ascii="Arial" w:hAnsi="Arial" w:cs="Arial"/>
      <w:color w:val="000000"/>
      <w:sz w:val="16"/>
      <w:szCs w:val="16"/>
      <w:u w:val="none"/>
    </w:rPr>
  </w:style>
  <w:style w:type="character" w:customStyle="1" w:styleId="18">
    <w:name w:val="font71"/>
    <w:basedOn w:val="9"/>
    <w:qFormat/>
    <w:uiPriority w:val="0"/>
    <w:rPr>
      <w:rFonts w:hint="eastAsia" w:ascii="宋体" w:hAnsi="宋体" w:eastAsia="宋体" w:cs="宋体"/>
      <w:color w:val="000000"/>
      <w:sz w:val="18"/>
      <w:szCs w:val="18"/>
      <w:u w:val="none"/>
    </w:rPr>
  </w:style>
  <w:style w:type="character" w:customStyle="1" w:styleId="19">
    <w:name w:val="font41"/>
    <w:basedOn w:val="9"/>
    <w:qFormat/>
    <w:uiPriority w:val="0"/>
    <w:rPr>
      <w:rFonts w:hint="eastAsia" w:ascii="宋体" w:hAnsi="宋体" w:eastAsia="宋体" w:cs="宋体"/>
      <w:color w:val="000000"/>
      <w:sz w:val="16"/>
      <w:szCs w:val="16"/>
      <w:u w:val="none"/>
    </w:rPr>
  </w:style>
  <w:style w:type="character" w:customStyle="1" w:styleId="20">
    <w:name w:val="font61"/>
    <w:basedOn w:val="9"/>
    <w:qFormat/>
    <w:uiPriority w:val="0"/>
    <w:rPr>
      <w:rFonts w:hint="default" w:ascii="PMingLiU" w:hAnsi="PMingLiU" w:eastAsia="PMingLiU" w:cs="PMingLiU"/>
      <w:color w:val="000000"/>
      <w:sz w:val="20"/>
      <w:szCs w:val="20"/>
      <w:u w:val="none"/>
    </w:rPr>
  </w:style>
  <w:style w:type="character" w:customStyle="1" w:styleId="21">
    <w:name w:val="font01"/>
    <w:basedOn w:val="9"/>
    <w:qFormat/>
    <w:uiPriority w:val="0"/>
    <w:rPr>
      <w:rFonts w:hint="default" w:ascii="MingLiU" w:hAnsi="MingLiU" w:eastAsia="MingLiU" w:cs="MingLiU"/>
      <w:color w:val="000000"/>
      <w:sz w:val="20"/>
      <w:szCs w:val="20"/>
      <w:u w:val="none"/>
    </w:rPr>
  </w:style>
  <w:style w:type="character" w:customStyle="1" w:styleId="22">
    <w:name w:val="font31"/>
    <w:basedOn w:val="9"/>
    <w:qFormat/>
    <w:uiPriority w:val="0"/>
    <w:rPr>
      <w:rFonts w:hint="eastAsia" w:ascii="宋体" w:hAnsi="宋体" w:eastAsia="宋体" w:cs="宋体"/>
      <w:color w:val="000000"/>
      <w:sz w:val="20"/>
      <w:szCs w:val="20"/>
      <w:u w:val="none"/>
    </w:rPr>
  </w:style>
  <w:style w:type="character" w:customStyle="1" w:styleId="23">
    <w:name w:val="font101"/>
    <w:basedOn w:val="9"/>
    <w:qFormat/>
    <w:uiPriority w:val="0"/>
    <w:rPr>
      <w:rFonts w:hint="eastAsia" w:ascii="宋体" w:hAnsi="宋体" w:eastAsia="宋体" w:cs="宋体"/>
      <w:i/>
      <w:iCs/>
      <w:color w:val="000000"/>
      <w:sz w:val="20"/>
      <w:szCs w:val="20"/>
      <w:u w:val="none"/>
    </w:rPr>
  </w:style>
  <w:style w:type="paragraph" w:customStyle="1" w:styleId="24">
    <w:name w:val="Body text|2"/>
    <w:basedOn w:val="1"/>
    <w:qFormat/>
    <w:uiPriority w:val="0"/>
    <w:pPr>
      <w:spacing w:after="240"/>
      <w:jc w:val="center"/>
    </w:pPr>
    <w:rPr>
      <w:rFonts w:ascii="宋体" w:hAnsi="宋体" w:eastAsia="宋体" w:cs="宋体"/>
      <w:sz w:val="26"/>
      <w:szCs w:val="26"/>
      <w:lang w:val="zh-TW" w:eastAsia="zh-TW" w:bidi="zh-TW"/>
    </w:rPr>
  </w:style>
  <w:style w:type="paragraph" w:customStyle="1" w:styleId="25">
    <w:name w:val="Body text|1"/>
    <w:basedOn w:val="1"/>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26">
    <w:name w:val="Table caption|1"/>
    <w:basedOn w:val="1"/>
    <w:qFormat/>
    <w:uiPriority w:val="0"/>
    <w:rPr>
      <w:rFonts w:ascii="宋体" w:hAnsi="宋体" w:eastAsia="宋体" w:cs="宋体"/>
      <w:sz w:val="20"/>
      <w:szCs w:val="20"/>
      <w:lang w:val="zh-TW" w:eastAsia="zh-TW" w:bidi="zh-TW"/>
    </w:rPr>
  </w:style>
  <w:style w:type="paragraph" w:customStyle="1" w:styleId="27">
    <w:name w:val="Other|1"/>
    <w:basedOn w:val="1"/>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28">
    <w:name w:val="Heading #1|1"/>
    <w:basedOn w:val="1"/>
    <w:qFormat/>
    <w:uiPriority w:val="0"/>
    <w:pPr>
      <w:spacing w:after="180"/>
      <w:jc w:val="center"/>
      <w:outlineLvl w:val="0"/>
    </w:pPr>
    <w:rPr>
      <w:rFonts w:ascii="宋体" w:hAnsi="宋体" w:eastAsia="宋体" w:cs="宋体"/>
      <w:sz w:val="26"/>
      <w:szCs w:val="26"/>
      <w:lang w:val="zh-TW" w:eastAsia="zh-TW" w:bidi="zh-TW"/>
    </w:rPr>
  </w:style>
  <w:style w:type="paragraph" w:customStyle="1" w:styleId="29">
    <w:name w:val="Header or footer|2"/>
    <w:basedOn w:val="1"/>
    <w:qFormat/>
    <w:uiPriority w:val="0"/>
    <w:rPr>
      <w:sz w:val="20"/>
      <w:szCs w:val="20"/>
      <w:lang w:val="zh-TW" w:eastAsia="zh-TW" w:bidi="zh-TW"/>
    </w:rPr>
  </w:style>
  <w:style w:type="paragraph" w:styleId="30">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3527</Words>
  <Characters>20110</Characters>
  <Lines>167</Lines>
  <Paragraphs>47</Paragraphs>
  <TotalTime>17</TotalTime>
  <ScaleCrop>false</ScaleCrop>
  <LinksUpToDate>false</LinksUpToDate>
  <CharactersWithSpaces>23590</CharactersWithSpaces>
  <Application>WPS Office_11.1.0.11411_F1E327BC-269C-435d-A152-05C5408002CA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2022-05-16T10:14:00Z</dcterms:created>
  <dc:creator>魏宝兴</dc:creator>
  <cp:lastModifiedBy>7月LEO</cp:lastModifiedBy>
  <cp:lastPrinted>2022-06-07T03:52:00Z</cp:lastPrinted>
  <dcterms:modified xsi:type="dcterms:W3CDTF">2022-06-08T04:02:05Z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003F4B7C55754348827E781723701253</vt:lpwstr>
  </property>
</Properties>
</file>