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beforeLines="100" w:line="600" w:lineRule="exact"/>
        <w:jc w:val="center"/>
        <w:rPr>
          <w:rFonts w:ascii="方正小标宋简体" w:hAnsi="宋体" w:eastAsia="方正小标宋简体" w:cs="Times New Roman"/>
          <w:b/>
          <w:sz w:val="48"/>
          <w:szCs w:val="48"/>
        </w:rPr>
      </w:pPr>
      <w:r>
        <w:rPr>
          <w:rFonts w:hint="eastAsia" w:ascii="方正小标宋简体" w:hAnsi="宋体" w:eastAsia="方正小标宋简体" w:cs="Times New Roman"/>
          <w:b/>
          <w:sz w:val="72"/>
          <w:szCs w:val="72"/>
        </w:rPr>
        <w:t>竞争性磋商文件</w:t>
      </w:r>
    </w:p>
    <w:p>
      <w:pPr>
        <w:spacing w:before="240" w:beforeLines="100" w:after="120"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20"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val="en-US" w:eastAsia="zh-CN"/>
        </w:rPr>
        <w:t>营养食堂日用百货</w:t>
      </w:r>
      <w:r>
        <w:rPr>
          <w:rFonts w:hint="eastAsia" w:ascii="仿宋_GB2312" w:hAnsi="宋体" w:eastAsia="仿宋_GB2312" w:cs="Times New Roman"/>
          <w:b/>
          <w:color w:val="000000"/>
          <w:sz w:val="32"/>
          <w:szCs w:val="32"/>
        </w:rPr>
        <w:t>类等</w:t>
      </w:r>
      <w:r>
        <w:rPr>
          <w:rFonts w:hint="eastAsia" w:ascii="仿宋_GB2312" w:hAnsi="宋体" w:eastAsia="仿宋_GB2312" w:cs="Times New Roman"/>
          <w:b/>
          <w:color w:val="000000"/>
          <w:sz w:val="32"/>
          <w:szCs w:val="32"/>
          <w:lang w:val="en-US" w:eastAsia="zh-CN"/>
        </w:rPr>
        <w:t>物资</w:t>
      </w:r>
      <w:r>
        <w:rPr>
          <w:rFonts w:hint="eastAsia" w:ascii="仿宋_GB2312" w:hAnsi="宋体" w:eastAsia="仿宋_GB2312" w:cs="Times New Roman"/>
          <w:b/>
          <w:color w:val="000000"/>
          <w:sz w:val="32"/>
          <w:szCs w:val="32"/>
        </w:rPr>
        <w:t>供应商遴选</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w:t>
      </w:r>
      <w:r>
        <w:rPr>
          <w:rFonts w:hint="eastAsia" w:ascii="仿宋_GB2312" w:hAnsi="宋体" w:eastAsia="仿宋_GB2312" w:cs="Times New Roman"/>
          <w:b/>
          <w:color w:val="000000"/>
          <w:sz w:val="32"/>
          <w:szCs w:val="32"/>
          <w:lang w:val="en-US" w:eastAsia="zh-CN"/>
        </w:rPr>
        <w:t>YYST</w:t>
      </w:r>
      <w:r>
        <w:rPr>
          <w:rFonts w:hint="eastAsia" w:ascii="仿宋_GB2312" w:hAnsi="宋体" w:eastAsia="仿宋_GB2312" w:cs="Times New Roman"/>
          <w:b/>
          <w:color w:val="000000"/>
          <w:sz w:val="32"/>
          <w:szCs w:val="32"/>
        </w:rPr>
        <w:t>-2022-</w:t>
      </w:r>
      <w:r>
        <w:rPr>
          <w:rFonts w:hint="eastAsia" w:ascii="仿宋_GB2312" w:hAnsi="宋体" w:eastAsia="仿宋_GB2312" w:cs="Times New Roman"/>
          <w:b/>
          <w:color w:val="000000"/>
          <w:sz w:val="32"/>
          <w:szCs w:val="32"/>
          <w:lang w:val="en-US" w:eastAsia="zh-CN"/>
        </w:rPr>
        <w:t>03</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5</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25</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12"/>
      <w:bookmarkStart w:id="2" w:name="_Toc35393629"/>
      <w:bookmarkStart w:id="3" w:name="_Toc47452205"/>
      <w:bookmarkStart w:id="4" w:name="_Toc44229878"/>
      <w:bookmarkStart w:id="5" w:name="_Toc35393798"/>
      <w:bookmarkStart w:id="6" w:name="_Toc2835908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项目编号：GXGSYY-CGB-YYST-2022-0</w:t>
      </w:r>
      <w:r>
        <w:rPr>
          <w:rFonts w:hint="eastAsia" w:ascii="宋体" w:hAnsi="宋体" w:eastAsia="宋体" w:cs="Times New Roman"/>
          <w:color w:val="000000"/>
          <w:szCs w:val="21"/>
          <w:lang w:val="en-US" w:eastAsia="zh-CN"/>
        </w:rPr>
        <w:t>3</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w:t>
      </w:r>
      <w:r>
        <w:rPr>
          <w:rFonts w:hint="eastAsia" w:ascii="宋体" w:hAnsi="宋体" w:eastAsia="宋体" w:cs="Times New Roman"/>
          <w:color w:val="000000"/>
          <w:szCs w:val="21"/>
          <w:lang w:val="en-US" w:eastAsia="zh-CN"/>
        </w:rPr>
        <w:t>院营养食堂日用百货</w:t>
      </w:r>
      <w:r>
        <w:rPr>
          <w:rFonts w:hint="eastAsia" w:ascii="宋体" w:hAnsi="宋体" w:eastAsia="宋体" w:cs="Times New Roman"/>
          <w:color w:val="000000"/>
          <w:szCs w:val="21"/>
        </w:rPr>
        <w:t>类等</w:t>
      </w:r>
      <w:r>
        <w:rPr>
          <w:rFonts w:hint="eastAsia" w:ascii="宋体" w:hAnsi="宋体" w:eastAsia="宋体" w:cs="Times New Roman"/>
          <w:color w:val="000000"/>
          <w:szCs w:val="21"/>
          <w:lang w:val="en-US" w:eastAsia="zh-CN"/>
        </w:rPr>
        <w:t>物资</w:t>
      </w:r>
      <w:r>
        <w:rPr>
          <w:rFonts w:hint="eastAsia" w:ascii="宋体" w:hAnsi="宋体" w:eastAsia="宋体" w:cs="Times New Roman"/>
          <w:color w:val="000000"/>
          <w:szCs w:val="21"/>
        </w:rPr>
        <w:t>供应商遴选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bookmarkStart w:id="7" w:name="_Toc44229879"/>
      <w:bookmarkStart w:id="8" w:name="_Toc28359090"/>
      <w:bookmarkStart w:id="9" w:name="_Toc28359013"/>
      <w:bookmarkStart w:id="10" w:name="_Toc47452206"/>
      <w:bookmarkStart w:id="11" w:name="_Toc35393630"/>
      <w:bookmarkStart w:id="12" w:name="_Toc35393799"/>
      <w:r>
        <w:rPr>
          <w:rFonts w:hint="eastAsia" w:ascii="宋体" w:hAnsi="宋体" w:eastAsia="宋体" w:cs="Times New Roman"/>
          <w:color w:val="000000"/>
          <w:szCs w:val="21"/>
        </w:rPr>
        <w:t>.服务期限：2年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87"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营养食堂日用百货</w:t>
            </w:r>
            <w:r>
              <w:rPr>
                <w:rFonts w:hint="eastAsia" w:ascii="宋体" w:hAnsi="宋体" w:eastAsia="宋体" w:cs="Times New Roman"/>
                <w:color w:val="000000"/>
                <w:szCs w:val="21"/>
              </w:rPr>
              <w:t>类等</w:t>
            </w:r>
            <w:r>
              <w:rPr>
                <w:rFonts w:hint="eastAsia" w:ascii="宋体" w:hAnsi="宋体" w:eastAsia="宋体" w:cs="Times New Roman"/>
                <w:color w:val="000000"/>
                <w:szCs w:val="21"/>
                <w:lang w:val="en-US" w:eastAsia="zh-CN"/>
              </w:rPr>
              <w:t>物资</w:t>
            </w:r>
            <w:r>
              <w:rPr>
                <w:rFonts w:hint="eastAsia" w:ascii="宋体" w:hAnsi="宋体" w:eastAsia="宋体" w:cs="Times New Roman"/>
                <w:color w:val="000000"/>
                <w:szCs w:val="21"/>
              </w:rPr>
              <w:t>供应商遴选</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spacing w:line="320" w:lineRule="exact"/>
              <w:jc w:val="left"/>
              <w:rPr>
                <w:rFonts w:hint="eastAsia" w:ascii="宋体" w:hAnsi="宋体" w:eastAsia="宋体" w:cs="Times New Roman"/>
                <w:color w:val="000000"/>
                <w:szCs w:val="21"/>
              </w:rPr>
            </w:pPr>
            <w:r>
              <w:rPr>
                <w:rFonts w:hint="eastAsia" w:ascii="宋体" w:hAnsi="宋体" w:eastAsia="宋体" w:cs="Times New Roman"/>
                <w:color w:val="000000"/>
                <w:szCs w:val="21"/>
              </w:rPr>
              <w:t>日用百货：过质量监督管理部门检验并取得合格证明的产品。保质期在6个月以内的，送货日至保质期到期日的天数必须大于保质期天数的三分之二；保质期在6个月以上的，送货日至保质期到期日的天数必须大于保质期天数的二分之一。包装规格、种类齐全，适合职工和住院患者日常生活所需。</w:t>
            </w:r>
          </w:p>
          <w:p>
            <w:pPr>
              <w:spacing w:line="320" w:lineRule="exact"/>
              <w:jc w:val="both"/>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投标人对以下产品单个进行报价，并汇总。</w:t>
            </w:r>
          </w:p>
          <w:p>
            <w:pPr>
              <w:spacing w:line="320" w:lineRule="exact"/>
              <w:jc w:val="left"/>
              <w:rPr>
                <w:rFonts w:hint="eastAsia" w:ascii="宋体" w:hAnsi="宋体" w:eastAsia="宋体" w:cs="Calibri"/>
                <w:color w:val="000000"/>
                <w:szCs w:val="21"/>
                <w:lang w:val="en-US" w:eastAsia="zh-CN"/>
              </w:rPr>
            </w:pPr>
            <w:r>
              <w:rPr>
                <w:rFonts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14"/>
      <w:bookmarkStart w:id="14" w:name="_Toc28359091"/>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hint="eastAsia" w:ascii="宋体" w:hAnsi="宋体" w:eastAsia="宋体" w:cs="Times New Roman"/>
          <w:color w:val="000000"/>
          <w:szCs w:val="21"/>
          <w:lang w:eastAsia="zh-CN"/>
        </w:rPr>
      </w:pPr>
      <w:r>
        <w:rPr>
          <w:rFonts w:ascii="宋体" w:hAnsi="宋体" w:eastAsia="宋体" w:cs="Times New Roman"/>
          <w:color w:val="000000"/>
          <w:szCs w:val="21"/>
        </w:rPr>
        <w:t>3.国内注册，具有法人资格，具备相关项目经营范围的单位</w:t>
      </w:r>
      <w:r>
        <w:rPr>
          <w:rFonts w:hint="eastAsia" w:ascii="宋体" w:hAnsi="宋体" w:eastAsia="宋体" w:cs="Times New Roman"/>
          <w:color w:val="000000"/>
          <w:szCs w:val="21"/>
          <w:lang w:eastAsia="zh-CN"/>
        </w:rPr>
        <w:t>；</w:t>
      </w:r>
    </w:p>
    <w:bookmarkEnd w:id="13"/>
    <w:bookmarkEnd w:id="14"/>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14</w:t>
      </w:r>
      <w:r>
        <w:rPr>
          <w:rFonts w:ascii="宋体" w:hAnsi="宋体" w:eastAsia="宋体" w:cs="Times New Roman"/>
          <w:color w:val="000000"/>
          <w:szCs w:val="21"/>
          <w:highlight w:val="none"/>
        </w:rPr>
        <w:t>日18时00分。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、遴选文件提交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响应文件提交开始时间：</w:t>
      </w:r>
      <w:r>
        <w:rPr>
          <w:rFonts w:hint="eastAsia" w:ascii="宋体" w:hAnsi="宋体" w:eastAsia="宋体" w:cs="Calibri"/>
          <w:bCs/>
          <w:color w:val="000000"/>
          <w:szCs w:val="21"/>
          <w:highlight w:val="none"/>
          <w:u w:val="single"/>
        </w:rPr>
        <w:t>202</w:t>
      </w:r>
      <w:r>
        <w:rPr>
          <w:rFonts w:ascii="宋体" w:hAnsi="宋体" w:eastAsia="宋体" w:cs="Calibri"/>
          <w:bCs/>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响应文件提交截止时间：</w:t>
      </w:r>
      <w:r>
        <w:rPr>
          <w:rFonts w:hint="eastAsia" w:ascii="宋体" w:hAnsi="宋体" w:eastAsia="宋体" w:cs="Calibri"/>
          <w:color w:val="000000"/>
          <w:szCs w:val="21"/>
          <w:highlight w:val="none"/>
          <w:u w:val="single"/>
        </w:rPr>
        <w:t>202</w:t>
      </w:r>
      <w:r>
        <w:rPr>
          <w:rFonts w:ascii="宋体" w:hAnsi="宋体" w:eastAsia="宋体" w:cs="Calibri"/>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14</w:t>
      </w:r>
      <w:r>
        <w:rPr>
          <w:rFonts w:hint="eastAsia" w:ascii="宋体" w:hAnsi="宋体" w:eastAsia="宋体" w:cs="Calibri"/>
          <w:bCs/>
          <w:color w:val="000000"/>
          <w:szCs w:val="21"/>
          <w:highlight w:val="none"/>
          <w:u w:val="single"/>
        </w:rPr>
        <w:t xml:space="preserve">日 </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bookmarkStart w:id="27" w:name="_GoBack"/>
      <w:bookmarkEnd w:id="27"/>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17344229910</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w:t>
      </w: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yellow"/>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营养食堂日用百货</w:t>
      </w:r>
      <w:r>
        <w:rPr>
          <w:rFonts w:hint="eastAsia" w:ascii="宋体" w:hAnsi="宋体" w:eastAsia="宋体" w:cs="Times New Roman"/>
          <w:color w:val="000000"/>
          <w:szCs w:val="21"/>
        </w:rPr>
        <w:t>类等</w:t>
      </w:r>
      <w:r>
        <w:rPr>
          <w:rFonts w:hint="eastAsia" w:ascii="宋体" w:hAnsi="宋体" w:eastAsia="宋体" w:cs="Times New Roman"/>
          <w:color w:val="000000"/>
          <w:szCs w:val="21"/>
          <w:lang w:val="en-US" w:eastAsia="zh-CN"/>
        </w:rPr>
        <w:t>物资</w:t>
      </w:r>
      <w:r>
        <w:rPr>
          <w:rFonts w:hint="eastAsia" w:ascii="宋体" w:hAnsi="宋体" w:eastAsia="宋体" w:cs="Times New Roman"/>
          <w:color w:val="000000"/>
          <w:szCs w:val="21"/>
        </w:rPr>
        <w:t>供应商遴选项目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7"/>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67" w:type="dxa"/>
            <w:gridSpan w:val="3"/>
            <w:vAlign w:val="center"/>
          </w:tcPr>
          <w:p>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技术及服务需求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2"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营养食堂日用百货</w:t>
            </w:r>
            <w:r>
              <w:rPr>
                <w:rFonts w:hint="eastAsia" w:ascii="宋体" w:hAnsi="宋体" w:eastAsia="宋体" w:cs="Times New Roman"/>
                <w:color w:val="000000"/>
                <w:szCs w:val="21"/>
              </w:rPr>
              <w:t>类等</w:t>
            </w:r>
            <w:r>
              <w:rPr>
                <w:rFonts w:hint="eastAsia" w:ascii="宋体" w:hAnsi="宋体" w:eastAsia="宋体" w:cs="Times New Roman"/>
                <w:color w:val="000000"/>
                <w:szCs w:val="21"/>
                <w:lang w:val="en-US" w:eastAsia="zh-CN"/>
              </w:rPr>
              <w:t>物资</w:t>
            </w:r>
            <w:r>
              <w:rPr>
                <w:rFonts w:hint="eastAsia" w:ascii="宋体" w:hAnsi="宋体" w:eastAsia="宋体" w:cs="Times New Roman"/>
                <w:color w:val="000000"/>
                <w:szCs w:val="21"/>
              </w:rPr>
              <w:t>供应商遴选</w:t>
            </w:r>
          </w:p>
        </w:tc>
        <w:tc>
          <w:tcPr>
            <w:tcW w:w="8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p>
            <w:pPr>
              <w:spacing w:line="3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 xml:space="preserve">   </w:t>
            </w:r>
            <w:r>
              <w:rPr>
                <w:rFonts w:hint="eastAsia" w:ascii="宋体" w:hAnsi="宋体" w:eastAsia="宋体" w:cs="Times New Roman"/>
                <w:color w:val="000000"/>
                <w:szCs w:val="21"/>
              </w:rPr>
              <w:t>日用百货：过质量监督管理部门检验并取得合格证明的产品。保质期在6个月以内的，送货日至保质期到期日的天数必须大于保质期天数的三分之二；保质期在6个月以上的，送货日至保质期到期日的天数必须大于保质期天数的二分之一。包装规格、种类齐全，适合职工和住院患者日常生活所需。</w:t>
            </w:r>
          </w:p>
          <w:p>
            <w:pPr>
              <w:spacing w:line="320" w:lineRule="exact"/>
              <w:jc w:val="left"/>
              <w:rPr>
                <w:rFonts w:hint="eastAsia" w:ascii="宋体" w:hAnsi="宋体" w:eastAsia="宋体" w:cs="Times New Roman"/>
                <w:color w:val="000000"/>
                <w:szCs w:val="21"/>
                <w:lang w:val="en-US" w:eastAsia="zh-CN"/>
              </w:rPr>
            </w:pPr>
          </w:p>
          <w:p>
            <w:pPr>
              <w:spacing w:line="320" w:lineRule="exact"/>
              <w:jc w:val="left"/>
              <w:rPr>
                <w:rFonts w:hint="eastAsia" w:ascii="宋体" w:hAnsi="宋体" w:eastAsia="宋体" w:cs="Times New Roman"/>
                <w:color w:val="000000"/>
                <w:szCs w:val="21"/>
                <w:lang w:val="en-US" w:eastAsia="zh-CN"/>
              </w:rPr>
            </w:pPr>
          </w:p>
          <w:p>
            <w:pPr>
              <w:spacing w:line="320" w:lineRule="exact"/>
              <w:jc w:val="left"/>
              <w:rPr>
                <w:rFonts w:hint="default" w:ascii="宋体" w:hAnsi="宋体" w:eastAsia="宋体" w:cs="Times New Roman"/>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Times New Roman"/>
                <w:color w:val="000000"/>
                <w:szCs w:val="21"/>
                <w:lang w:val="en-US" w:eastAsia="zh-CN"/>
              </w:rPr>
              <w:t>投标人以南宁青秀区的大型平价超市（如华联、南城百货等超市）价格为基准价，基准价下浮的百分比参与磋商评分。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宋体" w:hAnsi="宋体" w:eastAsia="宋体" w:cs="宋体"/>
                <w:bCs/>
                <w:szCs w:val="21"/>
              </w:rPr>
              <w:t>质量要求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1.必须索取的法规文件厂家营业执照法定质量检验机构出具的检验报告厂家生产许可证；</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2.必须具备的商品中文标签标识生产厂商名称、地址使用说明和维修保养证明警示标志及说明生产日期安全使用期或失效期产品规格、等级、成分；</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宋体"/>
                <w:bCs/>
                <w:szCs w:val="21"/>
                <w:lang w:val="en-US" w:eastAsia="zh-CN"/>
              </w:rPr>
              <w:t>3.必须附有生产厂家的出厂检验合格标记。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包装运输要求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1.乙方应在货物发运前进行满足运输、装卸等要求的包装，以保证安全运抵项目地点。货物的包装完整，包装材料清洁、无毒、无害。</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2.预包装货物：包装标签必须有货物名称、质量等级、质量标准编号、生产日期、产品保质期、厂名、厂址等内容，保质期必须在1/3以上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责任义务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 xml:space="preserve">1.中标人必须负责货物的运输、 质量检测等工作。 </w:t>
            </w:r>
          </w:p>
          <w:p>
            <w:pPr>
              <w:numPr>
                <w:ilvl w:val="0"/>
                <w:numId w:val="0"/>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2</w:t>
            </w:r>
            <w:r>
              <w:rPr>
                <w:rFonts w:hint="eastAsia" w:ascii="宋体" w:hAnsi="宋体" w:eastAsia="宋体" w:cs="Times New Roman"/>
                <w:bCs/>
                <w:szCs w:val="21"/>
              </w:rPr>
              <w:t>.中标人需按采购人的要求在规定时间内送达货品。采购人按合同对商品进行认真验收，对不符合规格要求的商品，无条件退货。 采购人发现商品出现损坏（包括表面损坏）， 或出现、 串味、 受潮等导致货物性质改变的，中标人必须无条件退货或更换商品。</w:t>
            </w:r>
          </w:p>
          <w:p>
            <w:pPr>
              <w:numPr>
                <w:ilvl w:val="0"/>
                <w:numId w:val="0"/>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3.</w:t>
            </w:r>
            <w:r>
              <w:rPr>
                <w:rFonts w:hint="eastAsia" w:ascii="宋体" w:hAnsi="宋体" w:eastAsia="宋体" w:cs="Times New Roman"/>
                <w:bCs/>
                <w:szCs w:val="21"/>
              </w:rPr>
              <w:t>采购人发现新购货物不能正常使用的，中标人应无条件退换。中标人所供商品在保质期出现损坏的， 中标人应承诺提供替换服务， 因替换货物产生的费用由中标人负责。如物品非因采购人人为而出现质量问题由中标人包换或包退， 所造成的经济损失由中标人负责。</w:t>
            </w:r>
          </w:p>
          <w:p>
            <w:pPr>
              <w:numPr>
                <w:ilvl w:val="0"/>
                <w:numId w:val="0"/>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4.</w:t>
            </w:r>
            <w:r>
              <w:rPr>
                <w:rFonts w:hint="eastAsia" w:ascii="宋体" w:hAnsi="宋体" w:eastAsia="宋体" w:cs="Times New Roman"/>
                <w:bCs/>
                <w:szCs w:val="21"/>
              </w:rPr>
              <w:t>中标人应保证所提供的货物绝对质量可靠，如出现食物食品安全事故， 送卫生、检疫部门鉴定属于中标人责任的， 一切责任由中标人承担， 采购人有权无条件终止合同。</w:t>
            </w:r>
          </w:p>
          <w:p>
            <w:pPr>
              <w:numPr>
                <w:ilvl w:val="0"/>
                <w:numId w:val="0"/>
              </w:num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bCs/>
                <w:szCs w:val="21"/>
                <w:lang w:val="en-US" w:eastAsia="zh-CN"/>
              </w:rPr>
              <w:t>5.</w:t>
            </w:r>
            <w:r>
              <w:rPr>
                <w:rFonts w:hint="eastAsia" w:ascii="宋体" w:hAnsi="宋体" w:eastAsia="宋体" w:cs="Times New Roman"/>
                <w:bCs/>
                <w:szCs w:val="21"/>
              </w:rPr>
              <w:t>对不符合采购要求的食品由验收人员提出清退， 退货前应实行留板备案， 如双方对质量争议可送国家质监部门检测。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售后服务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1"/>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供货方无论质量缺陷属采购方还是供应责任，在接到采购方通知后均应在12小时内响应并替换完毕；若供货方委派他方替换处理，其所发生的一切费用及其他不利后果均供货方承担。</w:t>
            </w:r>
          </w:p>
          <w:p>
            <w:pPr>
              <w:numPr>
                <w:ilvl w:val="0"/>
                <w:numId w:val="1"/>
              </w:num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投标人需提供售后服务方案及应急预案。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付款方式：按</w:t>
            </w:r>
            <w:r>
              <w:rPr>
                <w:rFonts w:hint="eastAsia" w:ascii="宋体" w:hAnsi="宋体" w:eastAsia="宋体" w:cs="Times New Roman"/>
                <w:bCs/>
                <w:szCs w:val="21"/>
                <w:lang w:val="en-US" w:eastAsia="zh-CN"/>
              </w:rPr>
              <w:t>月</w:t>
            </w:r>
            <w:r>
              <w:rPr>
                <w:rFonts w:hint="eastAsia" w:ascii="宋体" w:hAnsi="宋体" w:eastAsia="宋体" w:cs="Times New Roman"/>
                <w:bCs/>
                <w:szCs w:val="21"/>
              </w:rPr>
              <w:t>结算费用，</w:t>
            </w:r>
            <w:r>
              <w:rPr>
                <w:rFonts w:hint="eastAsia" w:ascii="宋体" w:hAnsi="宋体" w:eastAsia="宋体" w:cs="Times New Roman"/>
                <w:bCs/>
                <w:szCs w:val="21"/>
                <w:lang w:val="en-US" w:eastAsia="zh-CN"/>
              </w:rPr>
              <w:t>每月物资的数量和质量经核实无异议</w:t>
            </w:r>
            <w:r>
              <w:rPr>
                <w:rFonts w:hint="eastAsia" w:ascii="宋体" w:hAnsi="宋体" w:eastAsia="宋体" w:cs="Times New Roman"/>
                <w:bCs/>
                <w:szCs w:val="21"/>
              </w:rPr>
              <w:t>后，</w:t>
            </w:r>
            <w:r>
              <w:rPr>
                <w:rFonts w:hint="eastAsia" w:ascii="宋体" w:hAnsi="宋体" w:eastAsia="宋体" w:cs="Times New Roman"/>
                <w:bCs/>
                <w:szCs w:val="21"/>
                <w:lang w:val="en-US" w:eastAsia="zh-CN"/>
              </w:rPr>
              <w:t>供应商</w:t>
            </w:r>
            <w:r>
              <w:rPr>
                <w:rFonts w:hint="eastAsia" w:ascii="宋体" w:hAnsi="宋体" w:eastAsia="宋体" w:cs="Times New Roman"/>
                <w:bCs/>
                <w:szCs w:val="21"/>
              </w:rPr>
              <w:t>应在30日内开具</w:t>
            </w:r>
            <w:r>
              <w:rPr>
                <w:rFonts w:hint="eastAsia" w:ascii="宋体" w:hAnsi="宋体" w:eastAsia="宋体" w:cs="Times New Roman"/>
                <w:bCs/>
                <w:szCs w:val="21"/>
                <w:lang w:val="en-US" w:eastAsia="zh-CN"/>
              </w:rPr>
              <w:t>上月清单的</w:t>
            </w:r>
            <w:r>
              <w:rPr>
                <w:rFonts w:hint="eastAsia" w:ascii="宋体" w:hAnsi="宋体" w:eastAsia="宋体" w:cs="Times New Roman"/>
                <w:bCs/>
                <w:szCs w:val="21"/>
              </w:rPr>
              <w:t>发票给采购人</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采购人核实无误后</w:t>
            </w:r>
            <w:r>
              <w:rPr>
                <w:rFonts w:hint="eastAsia" w:ascii="宋体" w:hAnsi="宋体" w:eastAsia="宋体" w:cs="Times New Roman"/>
                <w:bCs/>
                <w:szCs w:val="21"/>
                <w:lang w:eastAsia="zh-CN"/>
              </w:rPr>
              <w:t>，</w:t>
            </w:r>
            <w:r>
              <w:rPr>
                <w:rFonts w:hint="eastAsia" w:ascii="宋体" w:hAnsi="宋体" w:eastAsia="宋体" w:cs="Times New Roman"/>
                <w:bCs/>
                <w:szCs w:val="21"/>
              </w:rPr>
              <w:t>采购人在7个工作日内</w:t>
            </w:r>
            <w:r>
              <w:rPr>
                <w:rFonts w:hint="eastAsia" w:ascii="宋体" w:hAnsi="宋体" w:eastAsia="宋体" w:cs="Times New Roman"/>
                <w:bCs/>
                <w:szCs w:val="21"/>
                <w:lang w:val="en-US" w:eastAsia="zh-CN"/>
              </w:rPr>
              <w:t>支付发票金额的100%</w:t>
            </w:r>
            <w:r>
              <w:rPr>
                <w:rFonts w:hint="eastAsia" w:ascii="宋体" w:hAnsi="宋体" w:eastAsia="宋体" w:cs="Times New Roman"/>
                <w:bCs/>
                <w:szCs w:val="21"/>
              </w:rPr>
              <w:t>。</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w:t>
      </w:r>
      <w:r>
        <w:rPr>
          <w:rFonts w:hint="eastAsia" w:ascii="宋体" w:hAnsi="宋体" w:eastAsia="宋体" w:cs="Times New Roman"/>
          <w:color w:val="000000"/>
          <w:szCs w:val="21"/>
          <w:lang w:val="en-US" w:eastAsia="zh-CN"/>
        </w:rPr>
        <w:t>售后</w:t>
      </w:r>
      <w:r>
        <w:rPr>
          <w:rFonts w:hint="eastAsia" w:ascii="宋体" w:hAnsi="宋体" w:eastAsia="宋体" w:cs="Times New Roman"/>
          <w:color w:val="000000"/>
          <w:szCs w:val="21"/>
        </w:rPr>
        <w:t>服务</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综合实力</w:t>
      </w:r>
      <w:r>
        <w:rPr>
          <w:rFonts w:hint="eastAsia" w:ascii="宋体" w:hAnsi="宋体" w:eastAsia="宋体" w:cs="Times New Roman"/>
          <w:color w:val="000000"/>
          <w:szCs w:val="21"/>
        </w:rPr>
        <w:t>等方面内容按百分制打分</w:t>
      </w:r>
      <w:r>
        <w:rPr>
          <w:rFonts w:hint="eastAsia" w:ascii="宋体" w:hAnsi="宋体" w:eastAsia="宋体" w:cs="Times New Roman"/>
          <w:bCs/>
          <w:color w:val="000000"/>
          <w:szCs w:val="21"/>
        </w:rPr>
        <w:t>。（计分方法按四舍五入取至百分位）</w:t>
      </w:r>
    </w:p>
    <w:p>
      <w:pPr>
        <w:ind w:firstLine="420" w:firstLineChars="200"/>
        <w:jc w:val="left"/>
        <w:rPr>
          <w:rFonts w:ascii="宋体" w:hAnsi="宋体" w:eastAsia="宋体"/>
          <w:szCs w:val="21"/>
        </w:rPr>
      </w:pPr>
    </w:p>
    <w:tbl>
      <w:tblPr>
        <w:tblStyle w:val="7"/>
        <w:tblW w:w="8637" w:type="dxa"/>
        <w:tblInd w:w="93" w:type="dxa"/>
        <w:tblLayout w:type="fixed"/>
        <w:tblCellMar>
          <w:top w:w="0" w:type="dxa"/>
          <w:left w:w="108" w:type="dxa"/>
          <w:bottom w:w="0" w:type="dxa"/>
          <w:right w:w="108" w:type="dxa"/>
        </w:tblCellMar>
      </w:tblPr>
      <w:tblGrid>
        <w:gridCol w:w="1060"/>
        <w:gridCol w:w="1182"/>
        <w:gridCol w:w="6395"/>
      </w:tblGrid>
      <w:tr>
        <w:tblPrEx>
          <w:tblCellMar>
            <w:top w:w="0" w:type="dxa"/>
            <w:left w:w="108" w:type="dxa"/>
            <w:bottom w:w="0" w:type="dxa"/>
            <w:right w:w="108" w:type="dxa"/>
          </w:tblCellMar>
        </w:tblPrEx>
        <w:trPr>
          <w:trHeight w:val="588" w:hRule="atLeast"/>
        </w:trPr>
        <w:tc>
          <w:tcPr>
            <w:tcW w:w="1060"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评分项目</w:t>
            </w:r>
          </w:p>
        </w:tc>
        <w:tc>
          <w:tcPr>
            <w:tcW w:w="1182"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w:t>
            </w:r>
          </w:p>
        </w:tc>
        <w:tc>
          <w:tcPr>
            <w:tcW w:w="6395"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tblPrEx>
          <w:tblCellMar>
            <w:top w:w="0" w:type="dxa"/>
            <w:left w:w="108" w:type="dxa"/>
            <w:bottom w:w="0" w:type="dxa"/>
            <w:right w:w="108" w:type="dxa"/>
          </w:tblCellMar>
        </w:tblPrEx>
        <w:trPr>
          <w:trHeight w:val="873" w:hRule="atLeast"/>
        </w:trPr>
        <w:tc>
          <w:tcPr>
            <w:tcW w:w="1060"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40</w:t>
            </w:r>
            <w:r>
              <w:rPr>
                <w:rFonts w:hint="eastAsia" w:ascii="宋体" w:hAnsi="宋体" w:eastAsia="宋体" w:cs="Calibri"/>
                <w:color w:val="000000"/>
                <w:szCs w:val="21"/>
              </w:rPr>
              <w:t xml:space="preserve"> 分）</w:t>
            </w:r>
          </w:p>
        </w:tc>
        <w:tc>
          <w:tcPr>
            <w:tcW w:w="1182"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40</w:t>
            </w:r>
            <w:r>
              <w:rPr>
                <w:rFonts w:hint="eastAsia" w:ascii="宋体" w:hAnsi="宋体" w:eastAsia="宋体" w:cs="Calibri"/>
                <w:color w:val="000000"/>
                <w:szCs w:val="21"/>
              </w:rPr>
              <w:t xml:space="preserve"> 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s="Calibri"/>
                <w:color w:val="000000"/>
                <w:szCs w:val="21"/>
                <w:lang w:val="en-US"/>
              </w:rPr>
            </w:pPr>
            <w:r>
              <w:rPr>
                <w:rFonts w:hint="eastAsia" w:ascii="宋体" w:hAnsi="宋体" w:eastAsia="宋体" w:cs="Times New Roman"/>
                <w:color w:val="000000"/>
                <w:szCs w:val="21"/>
                <w:lang w:val="en-US" w:eastAsia="zh-CN"/>
              </w:rPr>
              <w:t>以南宁市青秀区的大型平价超市（如华联、南城百货等超市）的价格为基准价，基准价下浮10%得40分，每少下浮一个百分点减4分，基准价不下浮的不得分。</w:t>
            </w:r>
          </w:p>
        </w:tc>
      </w:tr>
      <w:tr>
        <w:tblPrEx>
          <w:tblCellMar>
            <w:top w:w="0" w:type="dxa"/>
            <w:left w:w="108" w:type="dxa"/>
            <w:bottom w:w="0" w:type="dxa"/>
            <w:right w:w="108" w:type="dxa"/>
          </w:tblCellMar>
        </w:tblPrEx>
        <w:trPr>
          <w:trHeight w:val="588" w:hRule="atLeast"/>
        </w:trPr>
        <w:tc>
          <w:tcPr>
            <w:tcW w:w="10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售后服务分（40分）</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配送服务方案分（20分）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top"/>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 0-7分）：方案可行性较差，无针对性，不能对大部分货品质量、可追溯性和采购渠道的正规、合法性进行承诺。</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 （</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-14分）：方案可行性一般，针对性不强，对部分货品质量、可追溯性和采购渠道的正规、合法性进行承诺。</w:t>
            </w:r>
          </w:p>
          <w:p>
            <w:pPr>
              <w:spacing w:line="40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三档（14.1-20分):方案可行性强，有较强的针对性、对需货人所在行业食堂熟悉性比分析，制定有精准详细的配送、售后方案、有对全部货品质量、可追溯性和采购渠道的正规、合法性进行承诺。</w:t>
            </w:r>
          </w:p>
        </w:tc>
      </w:tr>
      <w:tr>
        <w:tblPrEx>
          <w:tblCellMar>
            <w:top w:w="0" w:type="dxa"/>
            <w:left w:w="108" w:type="dxa"/>
            <w:bottom w:w="0" w:type="dxa"/>
            <w:right w:w="108" w:type="dxa"/>
          </w:tblCellMar>
        </w:tblPrEx>
        <w:trPr>
          <w:trHeight w:val="471" w:hRule="atLeast"/>
        </w:trPr>
        <w:tc>
          <w:tcPr>
            <w:tcW w:w="10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应急预案分（</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top"/>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一档（0-</w:t>
            </w:r>
            <w:r>
              <w:rPr>
                <w:rFonts w:hint="eastAsia" w:ascii="宋体" w:hAnsi="宋体" w:cs="Calibri"/>
                <w:color w:val="000000"/>
                <w:kern w:val="2"/>
                <w:sz w:val="21"/>
                <w:szCs w:val="21"/>
                <w:lang w:val="en-US" w:eastAsia="zh-CN" w:bidi="ar-SA"/>
              </w:rPr>
              <w:t>7</w:t>
            </w:r>
            <w:r>
              <w:rPr>
                <w:rFonts w:hint="eastAsia" w:ascii="宋体" w:hAnsi="宋体" w:eastAsia="宋体" w:cs="Calibri"/>
                <w:color w:val="000000"/>
                <w:kern w:val="2"/>
                <w:sz w:val="21"/>
                <w:szCs w:val="21"/>
                <w:lang w:val="en-US" w:eastAsia="zh-CN" w:bidi="ar-SA"/>
              </w:rPr>
              <w:t>分）：应急保障机制以及问题的处理方案描述简单，具体实施步骤和要求描述较简单；</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14</w:t>
            </w:r>
            <w:r>
              <w:rPr>
                <w:rFonts w:hint="eastAsia" w:ascii="宋体" w:hAnsi="宋体" w:eastAsia="宋体" w:cs="Calibri"/>
                <w:color w:val="000000"/>
                <w:kern w:val="2"/>
                <w:sz w:val="21"/>
                <w:szCs w:val="21"/>
                <w:lang w:val="en-US" w:eastAsia="zh-CN" w:bidi="ar-SA"/>
              </w:rPr>
              <w:t xml:space="preserve">分）：应急保障机制以及问题的处理方案满足要求、描述简单，具体实施步骤和要求描述较简单，优于一档的；     </w:t>
            </w:r>
          </w:p>
          <w:p>
            <w:pPr>
              <w:pStyle w:val="30"/>
              <w:tabs>
                <w:tab w:val="left" w:pos="567"/>
                <w:tab w:val="left" w:pos="851"/>
              </w:tabs>
              <w:spacing w:line="420" w:lineRule="exact"/>
              <w:jc w:val="left"/>
              <w:rPr>
                <w:rFonts w:hint="eastAsia" w:ascii="宋体" w:hAnsi="宋体" w:eastAsia="宋体" w:cs="Calibri"/>
                <w:color w:val="000000"/>
                <w:szCs w:val="21"/>
                <w:lang w:eastAsia="zh-CN"/>
              </w:rPr>
            </w:pPr>
            <w:r>
              <w:rPr>
                <w:rFonts w:hint="eastAsia" w:ascii="宋体" w:hAnsi="宋体" w:eastAsia="宋体" w:cs="Calibri"/>
                <w:color w:val="000000"/>
                <w:kern w:val="2"/>
                <w:sz w:val="21"/>
                <w:szCs w:val="21"/>
                <w:lang w:val="en-US" w:eastAsia="zh-CN" w:bidi="ar-SA"/>
              </w:rPr>
              <w:t>三档（</w:t>
            </w:r>
            <w:r>
              <w:rPr>
                <w:rFonts w:hint="eastAsia" w:ascii="宋体" w:hAnsi="宋体" w:cs="Calibri"/>
                <w:color w:val="000000"/>
                <w:kern w:val="2"/>
                <w:sz w:val="21"/>
                <w:szCs w:val="21"/>
                <w:lang w:val="en-US" w:eastAsia="zh-CN" w:bidi="ar-SA"/>
              </w:rPr>
              <w:t>14.1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0分）：应急保障机制以及问题货品的处理方案较先进符合要求、描述较详细，具体实施步骤和要求描述较详细，优于二档的，可行性强。</w:t>
            </w:r>
          </w:p>
        </w:tc>
      </w:tr>
      <w:tr>
        <w:tblPrEx>
          <w:tblCellMar>
            <w:top w:w="0" w:type="dxa"/>
            <w:left w:w="108" w:type="dxa"/>
            <w:bottom w:w="0" w:type="dxa"/>
            <w:right w:w="108" w:type="dxa"/>
          </w:tblCellMar>
        </w:tblPrEx>
        <w:trPr>
          <w:trHeight w:val="854" w:hRule="atLeast"/>
        </w:trPr>
        <w:tc>
          <w:tcPr>
            <w:tcW w:w="10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综合实力</w:t>
            </w:r>
            <w:r>
              <w:rPr>
                <w:rFonts w:hint="eastAsia" w:ascii="宋体" w:hAnsi="宋体" w:eastAsia="宋体" w:cs="Calibri"/>
                <w:color w:val="000000"/>
                <w:szCs w:val="21"/>
              </w:rPr>
              <w:t xml:space="preserve">分 </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20分</w:t>
            </w:r>
            <w:r>
              <w:rPr>
                <w:rFonts w:hint="eastAsia" w:ascii="宋体" w:hAnsi="宋体" w:eastAsia="宋体" w:cs="Calibri"/>
                <w:color w:val="000000"/>
                <w:szCs w:val="21"/>
                <w:lang w:eastAsia="zh-CN"/>
              </w:rPr>
              <w:t>）</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管理制度分（5分）</w:t>
            </w:r>
          </w:p>
        </w:tc>
        <w:tc>
          <w:tcPr>
            <w:tcW w:w="6395" w:type="dxa"/>
            <w:tcBorders>
              <w:top w:val="single" w:color="000000" w:sz="8" w:space="0"/>
              <w:left w:val="single" w:color="auto" w:sz="4" w:space="0"/>
              <w:bottom w:val="single" w:color="000000" w:sz="8" w:space="0"/>
              <w:right w:val="single" w:color="000000" w:sz="8" w:space="0"/>
            </w:tcBorders>
            <w:shd w:val="clear" w:color="auto" w:fill="auto"/>
          </w:tcPr>
          <w:p>
            <w:pPr>
              <w:numPr>
                <w:ilvl w:val="0"/>
                <w:numId w:val="0"/>
              </w:numPr>
              <w:spacing w:line="420" w:lineRule="exact"/>
              <w:rPr>
                <w:rFonts w:hint="eastAsia" w:ascii="宋体" w:hAnsi="宋体" w:eastAsia="宋体" w:cs="Calibri"/>
                <w:color w:val="000000"/>
                <w:szCs w:val="21"/>
                <w:lang w:eastAsia="zh-CN"/>
              </w:rPr>
            </w:pPr>
            <w:r>
              <w:rPr>
                <w:rFonts w:hint="eastAsia" w:ascii="宋体" w:hAnsi="宋体" w:eastAsia="宋体" w:cs="Calibri"/>
                <w:color w:val="000000"/>
                <w:szCs w:val="21"/>
              </w:rPr>
              <w:t>新冠状肺炎疫情防控期间，有相应的防控管理制度和配送经验。有相应的防疫部署和管理制度、管控措施 得0-</w:t>
            </w:r>
            <w:r>
              <w:rPr>
                <w:rFonts w:hint="eastAsia" w:ascii="宋体" w:hAnsi="宋体" w:eastAsia="宋体" w:cs="Calibri"/>
                <w:color w:val="000000"/>
                <w:szCs w:val="21"/>
                <w:lang w:val="en-US" w:eastAsia="zh-CN"/>
              </w:rPr>
              <w:t>5</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854" w:hRule="atLeast"/>
        </w:trPr>
        <w:tc>
          <w:tcPr>
            <w:tcW w:w="1060" w:type="dxa"/>
            <w:vMerge w:val="continue"/>
            <w:tcBorders>
              <w:top w:val="single" w:color="auto" w:sz="4" w:space="0"/>
              <w:left w:val="single" w:color="auto" w:sz="4" w:space="0"/>
              <w:right w:val="single" w:color="000000" w:sz="8"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1182" w:type="dxa"/>
            <w:tcBorders>
              <w:top w:val="single" w:color="auto" w:sz="4" w:space="0"/>
              <w:left w:val="single" w:color="000000" w:sz="8" w:space="0"/>
              <w:bottom w:val="single" w:color="000000" w:sz="8" w:space="0"/>
              <w:right w:val="single" w:color="000000" w:sz="8"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业绩分（5分）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tcPr>
          <w:p>
            <w:pPr>
              <w:numPr>
                <w:ilvl w:val="0"/>
                <w:numId w:val="0"/>
              </w:numPr>
              <w:spacing w:line="420" w:lineRule="exact"/>
              <w:rPr>
                <w:rFonts w:hint="eastAsia" w:ascii="宋体" w:hAnsi="宋体" w:eastAsia="宋体" w:cs="Calibri"/>
                <w:color w:val="000000"/>
                <w:szCs w:val="21"/>
              </w:rPr>
            </w:pPr>
            <w:r>
              <w:rPr>
                <w:rFonts w:hint="eastAsia" w:ascii="宋体" w:hAnsi="宋体" w:eastAsia="宋体" w:cs="Calibri"/>
                <w:color w:val="000000"/>
                <w:szCs w:val="21"/>
              </w:rPr>
              <w:t>201</w:t>
            </w:r>
            <w:r>
              <w:rPr>
                <w:rFonts w:hint="eastAsia" w:ascii="宋体" w:hAnsi="宋体" w:eastAsia="宋体" w:cs="Calibri"/>
                <w:color w:val="000000"/>
                <w:szCs w:val="21"/>
                <w:lang w:val="en-US" w:eastAsia="zh-CN"/>
              </w:rPr>
              <w:t>9</w:t>
            </w:r>
            <w:r>
              <w:rPr>
                <w:rFonts w:hint="eastAsia" w:ascii="宋体" w:hAnsi="宋体" w:eastAsia="宋体" w:cs="Calibri"/>
                <w:color w:val="000000"/>
                <w:szCs w:val="21"/>
              </w:rPr>
              <w:t>年1月</w:t>
            </w:r>
            <w:r>
              <w:rPr>
                <w:rFonts w:hint="eastAsia" w:ascii="宋体" w:hAnsi="宋体" w:eastAsia="宋体" w:cs="Calibri"/>
                <w:color w:val="000000"/>
                <w:szCs w:val="21"/>
                <w:lang w:val="en-US" w:eastAsia="zh-CN"/>
              </w:rPr>
              <w:t>至今</w:t>
            </w:r>
            <w:r>
              <w:rPr>
                <w:rFonts w:hint="eastAsia" w:ascii="宋体" w:hAnsi="宋体" w:eastAsia="宋体" w:cs="Calibri"/>
                <w:color w:val="000000"/>
                <w:szCs w:val="21"/>
              </w:rPr>
              <w:t>，在广西区内供货业绩，投标人提供业绩合同证明的每项得</w:t>
            </w: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分，未提供的不得分，满分</w:t>
            </w:r>
            <w:r>
              <w:rPr>
                <w:rFonts w:hint="eastAsia" w:ascii="宋体" w:hAnsi="宋体" w:eastAsia="宋体" w:cs="Calibri"/>
                <w:color w:val="000000"/>
                <w:szCs w:val="21"/>
                <w:lang w:val="en-US" w:eastAsia="zh-CN"/>
              </w:rPr>
              <w:t>5</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853" w:hRule="atLeast"/>
        </w:trPr>
        <w:tc>
          <w:tcPr>
            <w:tcW w:w="1060" w:type="dxa"/>
            <w:vMerge w:val="continue"/>
            <w:tcBorders>
              <w:left w:val="single" w:color="auto" w:sz="4" w:space="0"/>
              <w:right w:val="single" w:color="000000" w:sz="8" w:space="0"/>
            </w:tcBorders>
            <w:shd w:val="clear" w:color="auto" w:fill="auto"/>
            <w:vAlign w:val="center"/>
          </w:tcPr>
          <w:p>
            <w:pPr>
              <w:spacing w:line="400" w:lineRule="exact"/>
              <w:jc w:val="center"/>
              <w:rPr>
                <w:rFonts w:ascii="宋体" w:hAnsi="宋体" w:eastAsia="宋体" w:cs="Calibri"/>
                <w:color w:val="000000"/>
                <w:szCs w:val="21"/>
              </w:rPr>
            </w:pPr>
          </w:p>
        </w:tc>
        <w:tc>
          <w:tcPr>
            <w:tcW w:w="1182"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人员得分（5分）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rPr>
                <w:rFonts w:ascii="宋体" w:hAnsi="宋体" w:eastAsia="宋体" w:cs="Calibri"/>
                <w:color w:val="000000"/>
                <w:szCs w:val="21"/>
              </w:rPr>
            </w:pPr>
            <w:r>
              <w:rPr>
                <w:rFonts w:hint="eastAsia" w:ascii="宋体" w:hAnsi="宋体" w:eastAsia="宋体" w:cs="Calibri"/>
                <w:color w:val="000000"/>
                <w:szCs w:val="21"/>
                <w:lang w:val="en-US" w:eastAsia="zh-CN"/>
              </w:rPr>
              <w:t>投标人拟派本项目从业人员数得分。1人得1分，2人得2分，3人得3分，4人得4分，5人得5分</w:t>
            </w:r>
            <w:r>
              <w:rPr>
                <w:rFonts w:hint="eastAsia" w:ascii="宋体" w:hAnsi="宋体" w:eastAsia="宋体" w:cs="Calibri"/>
                <w:color w:val="000000"/>
                <w:szCs w:val="21"/>
              </w:rPr>
              <w:t>。</w:t>
            </w:r>
          </w:p>
        </w:tc>
      </w:tr>
      <w:tr>
        <w:tblPrEx>
          <w:tblCellMar>
            <w:top w:w="0" w:type="dxa"/>
            <w:left w:w="108" w:type="dxa"/>
            <w:bottom w:w="0" w:type="dxa"/>
            <w:right w:w="108" w:type="dxa"/>
          </w:tblCellMar>
        </w:tblPrEx>
        <w:trPr>
          <w:trHeight w:val="1596" w:hRule="atLeast"/>
        </w:trPr>
        <w:tc>
          <w:tcPr>
            <w:tcW w:w="1060" w:type="dxa"/>
            <w:vMerge w:val="continue"/>
            <w:tcBorders>
              <w:left w:val="single" w:color="auto" w:sz="4" w:space="0"/>
              <w:bottom w:val="single" w:color="000000" w:sz="8" w:space="0"/>
              <w:right w:val="single" w:color="000000" w:sz="8"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1182"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rPr>
                <w:rFonts w:hint="eastAsia" w:ascii="宋体" w:hAnsi="宋体" w:eastAsia="宋体" w:cs="Calibri"/>
                <w:color w:val="000000"/>
                <w:szCs w:val="21"/>
              </w:rPr>
            </w:pPr>
            <w:r>
              <w:rPr>
                <w:rFonts w:hint="eastAsia" w:ascii="宋体" w:hAnsi="宋体" w:eastAsia="宋体" w:cs="Calibri"/>
                <w:color w:val="000000"/>
                <w:szCs w:val="21"/>
                <w:lang w:val="en-US" w:eastAsia="zh-CN"/>
              </w:rPr>
              <w:t>运输能力分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5</w:t>
            </w:r>
            <w:r>
              <w:rPr>
                <w:rFonts w:hint="eastAsia" w:ascii="宋体" w:hAnsi="宋体" w:eastAsia="宋体" w:cs="Calibri"/>
                <w:color w:val="000000"/>
                <w:szCs w:val="21"/>
              </w:rPr>
              <w:t>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投标人投入本项目专用运输车1辆，得</w:t>
            </w: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分；专用运输车2辆，得</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分，专用运输车3辆，得</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分</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以此类推，满分5分</w:t>
            </w:r>
            <w:r>
              <w:rPr>
                <w:rFonts w:hint="eastAsia" w:ascii="宋体" w:hAnsi="宋体" w:eastAsia="宋体" w:cs="Calibri"/>
                <w:color w:val="000000"/>
                <w:szCs w:val="21"/>
              </w:rPr>
              <w:t>。</w:t>
            </w:r>
          </w:p>
          <w:p>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注:提供车辆必须是公司名下或公司股东名下，须提供车辆行驶证、车辆登记证证明复印件，以上资料均为复印件并加盖单位公章。</w:t>
            </w:r>
          </w:p>
        </w:tc>
      </w:tr>
    </w:tbl>
    <w:p>
      <w:pPr>
        <w:jc w:val="left"/>
        <w:rPr>
          <w:rFonts w:ascii="宋体" w:hAnsi="宋体" w:eastAsia="宋体"/>
          <w:szCs w:val="21"/>
        </w:rPr>
      </w:pPr>
    </w:p>
    <w:p>
      <w:pPr>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1名以上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lang w:val="en-US" w:eastAsia="zh-CN"/>
        </w:rPr>
        <w:t>售后服务</w:t>
      </w:r>
      <w:r>
        <w:rPr>
          <w:rFonts w:ascii="宋体" w:hAnsi="宋体" w:eastAsia="宋体"/>
          <w:szCs w:val="21"/>
        </w:rPr>
        <w:t>优劣顺序推荐（按</w:t>
      </w:r>
      <w:r>
        <w:rPr>
          <w:rFonts w:hint="eastAsia" w:ascii="宋体" w:hAnsi="宋体" w:eastAsia="宋体"/>
          <w:szCs w:val="21"/>
          <w:lang w:val="en-US" w:eastAsia="zh-CN"/>
        </w:rPr>
        <w:t>售后服务</w:t>
      </w:r>
      <w:r>
        <w:rPr>
          <w:rFonts w:ascii="宋体" w:hAnsi="宋体" w:eastAsia="宋体"/>
          <w:szCs w:val="21"/>
        </w:rPr>
        <w:t>得分由高到低排序，</w:t>
      </w:r>
      <w:r>
        <w:rPr>
          <w:rFonts w:hint="eastAsia" w:ascii="宋体" w:hAnsi="宋体" w:eastAsia="宋体"/>
          <w:szCs w:val="21"/>
          <w:lang w:val="en-US" w:eastAsia="zh-CN"/>
        </w:rPr>
        <w:t>售后服务</w:t>
      </w:r>
      <w:r>
        <w:rPr>
          <w:rFonts w:ascii="宋体" w:hAnsi="宋体" w:eastAsia="宋体"/>
          <w:szCs w:val="21"/>
        </w:rPr>
        <w:t>得分相同的按照技术需求偏离分由高到低排序）。评审得分、最后报价（不计算价格折扣）、</w:t>
      </w:r>
      <w:r>
        <w:rPr>
          <w:rFonts w:hint="eastAsia" w:ascii="宋体" w:hAnsi="宋体" w:eastAsia="宋体"/>
          <w:szCs w:val="21"/>
          <w:lang w:val="en-US" w:eastAsia="zh-CN"/>
        </w:rPr>
        <w:t>售后服务</w:t>
      </w:r>
      <w:r>
        <w:rPr>
          <w:rFonts w:ascii="宋体" w:hAnsi="宋体" w:eastAsia="宋体"/>
          <w:szCs w:val="21"/>
        </w:rPr>
        <w:t>分均相同的，由评审小组随机抽取推荐。</w:t>
      </w: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rPr>
          <w:rFonts w:ascii="仿宋_GB2312" w:hAnsi="Calibri" w:eastAsia="仿宋_GB2312" w:cs="Calibri"/>
          <w:bCs/>
          <w:color w:val="000000"/>
          <w:sz w:val="32"/>
          <w:szCs w:val="32"/>
        </w:rPr>
      </w:pPr>
    </w:p>
    <w:p>
      <w:pPr>
        <w:snapToGrid w:val="0"/>
        <w:spacing w:before="120"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20"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p>
    <w:p>
      <w:pPr>
        <w:snapToGrid w:val="0"/>
        <w:spacing w:before="120"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20"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20"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pStyle w:val="25"/>
        <w:spacing w:after="180" w:line="240" w:lineRule="auto"/>
        <w:ind w:firstLine="0"/>
        <w:jc w:val="left"/>
        <w:rPr>
          <w:color w:val="000000"/>
        </w:rPr>
      </w:pPr>
      <w:r>
        <w:rPr>
          <w:rFonts w:hint="eastAsia" w:cs="Calibri"/>
          <w:b/>
          <w:bCs/>
          <w:color w:val="000000"/>
          <w:sz w:val="32"/>
          <w:szCs w:val="32"/>
          <w:lang w:val="en-US" w:eastAsia="zh-CN" w:bidi="ar-SA"/>
        </w:rPr>
        <w:t>3.报价分析表</w:t>
      </w:r>
      <w:r>
        <w:rPr>
          <w:color w:val="000000"/>
        </w:rPr>
        <w:t>（此表如不适用可自行设计）</w:t>
      </w:r>
    </w:p>
    <w:p>
      <w:pPr>
        <w:pStyle w:val="25"/>
        <w:spacing w:after="180" w:line="240" w:lineRule="auto"/>
        <w:ind w:firstLine="0"/>
        <w:jc w:val="center"/>
        <w:rPr>
          <w:color w:val="000000"/>
          <w:lang w:val="en-US" w:eastAsia="zh-CN"/>
        </w:rPr>
      </w:pPr>
      <w:r>
        <w:rPr>
          <w:rFonts w:hint="eastAsia" w:cs="Calibri"/>
          <w:b/>
          <w:bCs/>
          <w:color w:val="000000"/>
          <w:sz w:val="32"/>
          <w:szCs w:val="32"/>
          <w:lang w:val="en-US" w:eastAsia="zh-CN" w:bidi="ar-SA"/>
        </w:rPr>
        <w:t>报价分析表</w:t>
      </w:r>
    </w:p>
    <w:p>
      <w:pPr>
        <w:pStyle w:val="26"/>
        <w:jc w:val="left"/>
      </w:pPr>
      <w:r>
        <w:rPr>
          <w:color w:val="000000"/>
        </w:rPr>
        <w:t>项目名称:</w:t>
      </w:r>
    </w:p>
    <w:tbl>
      <w:tblPr>
        <w:tblStyle w:val="7"/>
        <w:tblW w:w="9676" w:type="dxa"/>
        <w:jc w:val="center"/>
        <w:tblLayout w:type="fixed"/>
        <w:tblCellMar>
          <w:top w:w="0" w:type="dxa"/>
          <w:left w:w="10" w:type="dxa"/>
          <w:bottom w:w="0" w:type="dxa"/>
          <w:right w:w="10" w:type="dxa"/>
        </w:tblCellMar>
      </w:tblPr>
      <w:tblGrid>
        <w:gridCol w:w="958"/>
        <w:gridCol w:w="1514"/>
        <w:gridCol w:w="1459"/>
        <w:gridCol w:w="1307"/>
        <w:gridCol w:w="2103"/>
        <w:gridCol w:w="2335"/>
      </w:tblGrid>
      <w:tr>
        <w:tblPrEx>
          <w:tblCellMar>
            <w:top w:w="0" w:type="dxa"/>
            <w:left w:w="10" w:type="dxa"/>
            <w:bottom w:w="0" w:type="dxa"/>
            <w:right w:w="10" w:type="dxa"/>
          </w:tblCellMar>
        </w:tblPrEx>
        <w:trPr>
          <w:trHeight w:val="707" w:hRule="exact"/>
          <w:jc w:val="center"/>
        </w:trPr>
        <w:tc>
          <w:tcPr>
            <w:tcW w:w="958" w:type="dxa"/>
            <w:tcBorders>
              <w:top w:val="single" w:color="auto" w:sz="4" w:space="0"/>
              <w:left w:val="single" w:color="auto" w:sz="4" w:space="0"/>
            </w:tcBorders>
            <w:shd w:val="clear" w:color="auto" w:fill="FFFFFF"/>
            <w:vAlign w:val="center"/>
          </w:tcPr>
          <w:p>
            <w:pPr>
              <w:pStyle w:val="27"/>
              <w:spacing w:after="0" w:line="240" w:lineRule="auto"/>
              <w:ind w:firstLine="0"/>
              <w:jc w:val="center"/>
            </w:pPr>
            <w:r>
              <w:rPr>
                <w:color w:val="000000"/>
              </w:rPr>
              <w:t>序号</w:t>
            </w:r>
          </w:p>
        </w:tc>
        <w:tc>
          <w:tcPr>
            <w:tcW w:w="1514" w:type="dxa"/>
            <w:tcBorders>
              <w:top w:val="single" w:color="auto" w:sz="4" w:space="0"/>
              <w:left w:val="single" w:color="auto" w:sz="4" w:space="0"/>
            </w:tcBorders>
            <w:shd w:val="clear" w:color="auto" w:fill="FFFFFF"/>
            <w:vAlign w:val="center"/>
          </w:tcPr>
          <w:p>
            <w:pPr>
              <w:pStyle w:val="27"/>
              <w:spacing w:after="0" w:line="240" w:lineRule="auto"/>
              <w:ind w:firstLine="0"/>
              <w:jc w:val="center"/>
            </w:pPr>
            <w:r>
              <w:rPr>
                <w:rFonts w:hint="eastAsia"/>
                <w:color w:val="000000"/>
                <w:lang w:val="en-US" w:eastAsia="zh-CN"/>
              </w:rPr>
              <w:t>产品</w:t>
            </w:r>
            <w:r>
              <w:rPr>
                <w:color w:val="000000"/>
              </w:rPr>
              <w:t>名称</w:t>
            </w:r>
          </w:p>
        </w:tc>
        <w:tc>
          <w:tcPr>
            <w:tcW w:w="1459" w:type="dxa"/>
            <w:tcBorders>
              <w:top w:val="single" w:color="auto" w:sz="4" w:space="0"/>
              <w:left w:val="single" w:color="auto" w:sz="4" w:space="0"/>
            </w:tcBorders>
            <w:shd w:val="clear" w:color="auto" w:fill="FFFFFF"/>
            <w:vAlign w:val="center"/>
          </w:tcPr>
          <w:p>
            <w:pPr>
              <w:pStyle w:val="27"/>
              <w:spacing w:after="0" w:line="240" w:lineRule="auto"/>
              <w:ind w:firstLine="0"/>
              <w:jc w:val="center"/>
              <w:rPr>
                <w:rFonts w:hint="default" w:eastAsia="宋体"/>
                <w:lang w:val="en-US" w:eastAsia="zh-CN"/>
              </w:rPr>
            </w:pPr>
            <w:r>
              <w:rPr>
                <w:color w:val="000000"/>
              </w:rPr>
              <w:t>规格</w:t>
            </w:r>
            <w:r>
              <w:rPr>
                <w:rFonts w:hint="eastAsia"/>
                <w:color w:val="000000"/>
                <w:lang w:val="en-US" w:eastAsia="zh-CN"/>
              </w:rPr>
              <w:t>/单位</w:t>
            </w:r>
          </w:p>
        </w:tc>
        <w:tc>
          <w:tcPr>
            <w:tcW w:w="1307" w:type="dxa"/>
            <w:tcBorders>
              <w:top w:val="single" w:color="auto" w:sz="4" w:space="0"/>
              <w:left w:val="single" w:color="auto" w:sz="4" w:space="0"/>
              <w:right w:val="single" w:color="auto" w:sz="4" w:space="0"/>
            </w:tcBorders>
            <w:shd w:val="clear" w:color="auto" w:fill="FFFFFF"/>
            <w:vAlign w:val="center"/>
          </w:tcPr>
          <w:p>
            <w:pPr>
              <w:pStyle w:val="27"/>
              <w:spacing w:after="0" w:line="240" w:lineRule="auto"/>
              <w:ind w:firstLine="680"/>
              <w:jc w:val="left"/>
              <w:rPr>
                <w:rFonts w:hint="eastAsia" w:eastAsia="宋体"/>
                <w:lang w:val="en-US" w:eastAsia="zh-CN"/>
              </w:rPr>
            </w:pPr>
            <w:r>
              <w:rPr>
                <w:rFonts w:hint="eastAsia"/>
                <w:lang w:val="en-US" w:eastAsia="zh-CN"/>
              </w:rPr>
              <w:t>品牌</w:t>
            </w:r>
          </w:p>
        </w:tc>
        <w:tc>
          <w:tcPr>
            <w:tcW w:w="2103" w:type="dxa"/>
            <w:tcBorders>
              <w:top w:val="single" w:color="auto" w:sz="4" w:space="0"/>
              <w:left w:val="single" w:color="auto" w:sz="4" w:space="0"/>
              <w:right w:val="single" w:color="auto" w:sz="4" w:space="0"/>
            </w:tcBorders>
            <w:shd w:val="clear" w:color="auto" w:fill="FFFFFF"/>
            <w:vAlign w:val="center"/>
          </w:tcPr>
          <w:p>
            <w:pPr>
              <w:pStyle w:val="27"/>
              <w:spacing w:after="0" w:line="240" w:lineRule="auto"/>
              <w:ind w:firstLine="680"/>
              <w:jc w:val="left"/>
              <w:rPr>
                <w:rFonts w:hint="eastAsia" w:eastAsia="宋体"/>
                <w:color w:val="000000"/>
                <w:lang w:val="en-US" w:eastAsia="zh-CN"/>
              </w:rPr>
            </w:pPr>
            <w:r>
              <w:rPr>
                <w:rFonts w:hint="eastAsia"/>
                <w:color w:val="000000"/>
                <w:lang w:val="en-US" w:eastAsia="zh-CN"/>
              </w:rPr>
              <w:t>上控价</w:t>
            </w:r>
          </w:p>
        </w:tc>
        <w:tc>
          <w:tcPr>
            <w:tcW w:w="2335" w:type="dxa"/>
            <w:tcBorders>
              <w:top w:val="single" w:color="auto" w:sz="4" w:space="0"/>
              <w:left w:val="single" w:color="auto" w:sz="4" w:space="0"/>
              <w:right w:val="single" w:color="auto" w:sz="4" w:space="0"/>
            </w:tcBorders>
            <w:shd w:val="clear" w:color="auto" w:fill="FFFFFF"/>
            <w:vAlign w:val="center"/>
          </w:tcPr>
          <w:p>
            <w:pPr>
              <w:pStyle w:val="27"/>
              <w:spacing w:after="0" w:line="240" w:lineRule="auto"/>
              <w:ind w:firstLine="680"/>
              <w:jc w:val="left"/>
              <w:rPr>
                <w:rFonts w:hint="eastAsia" w:eastAsia="宋体"/>
                <w:color w:val="000000"/>
                <w:lang w:eastAsia="zh-CN"/>
              </w:rPr>
            </w:pPr>
            <w:r>
              <w:rPr>
                <w:color w:val="000000"/>
              </w:rPr>
              <w:t>报价（元</w:t>
            </w:r>
            <w:r>
              <w:rPr>
                <w:rFonts w:hint="eastAsia"/>
                <w:color w:val="000000"/>
                <w:lang w:eastAsia="zh-CN"/>
              </w:rPr>
              <w:t>）</w:t>
            </w:r>
          </w:p>
        </w:tc>
      </w:tr>
      <w:tr>
        <w:tblPrEx>
          <w:tblCellMar>
            <w:top w:w="0" w:type="dxa"/>
            <w:left w:w="10" w:type="dxa"/>
            <w:bottom w:w="0" w:type="dxa"/>
            <w:right w:w="10" w:type="dxa"/>
          </w:tblCellMar>
        </w:tblPrEx>
        <w:trPr>
          <w:trHeight w:val="677" w:hRule="exact"/>
          <w:jc w:val="center"/>
        </w:trPr>
        <w:tc>
          <w:tcPr>
            <w:tcW w:w="958" w:type="dxa"/>
            <w:tcBorders>
              <w:top w:val="single" w:color="auto" w:sz="4" w:space="0"/>
              <w:left w:val="single" w:color="auto" w:sz="4" w:space="0"/>
            </w:tcBorders>
            <w:shd w:val="clear" w:color="auto" w:fill="FFFFFF"/>
          </w:tcPr>
          <w:p>
            <w:pPr>
              <w:rPr>
                <w:sz w:val="10"/>
                <w:szCs w:val="10"/>
              </w:rPr>
            </w:pPr>
          </w:p>
        </w:tc>
        <w:tc>
          <w:tcPr>
            <w:tcW w:w="1514" w:type="dxa"/>
            <w:tcBorders>
              <w:top w:val="single" w:color="auto" w:sz="4" w:space="0"/>
              <w:left w:val="single" w:color="auto" w:sz="4" w:space="0"/>
            </w:tcBorders>
            <w:shd w:val="clear" w:color="auto" w:fill="FFFFFF"/>
          </w:tcPr>
          <w:p>
            <w:pPr>
              <w:rPr>
                <w:sz w:val="10"/>
                <w:szCs w:val="10"/>
              </w:rPr>
            </w:pPr>
          </w:p>
        </w:tc>
        <w:tc>
          <w:tcPr>
            <w:tcW w:w="1459" w:type="dxa"/>
            <w:tcBorders>
              <w:top w:val="single" w:color="auto" w:sz="4" w:space="0"/>
              <w:left w:val="single" w:color="auto" w:sz="4" w:space="0"/>
            </w:tcBorders>
            <w:shd w:val="clear" w:color="auto" w:fill="FFFFFF"/>
          </w:tcPr>
          <w:p>
            <w:pPr>
              <w:rPr>
                <w:sz w:val="10"/>
                <w:szCs w:val="10"/>
              </w:rPr>
            </w:pPr>
          </w:p>
        </w:tc>
        <w:tc>
          <w:tcPr>
            <w:tcW w:w="1307" w:type="dxa"/>
            <w:tcBorders>
              <w:top w:val="single" w:color="auto" w:sz="4" w:space="0"/>
              <w:left w:val="single" w:color="auto" w:sz="4" w:space="0"/>
              <w:right w:val="single" w:color="auto" w:sz="4" w:space="0"/>
            </w:tcBorders>
            <w:shd w:val="clear" w:color="auto" w:fill="FFFFFF"/>
          </w:tcPr>
          <w:p>
            <w:pPr>
              <w:rPr>
                <w:sz w:val="10"/>
                <w:szCs w:val="10"/>
              </w:rPr>
            </w:pPr>
          </w:p>
        </w:tc>
        <w:tc>
          <w:tcPr>
            <w:tcW w:w="2103" w:type="dxa"/>
            <w:tcBorders>
              <w:top w:val="single" w:color="auto" w:sz="4" w:space="0"/>
              <w:left w:val="single" w:color="auto" w:sz="4" w:space="0"/>
              <w:right w:val="single" w:color="auto" w:sz="4" w:space="0"/>
            </w:tcBorders>
            <w:shd w:val="clear" w:color="auto" w:fill="FFFFFF"/>
          </w:tcPr>
          <w:p>
            <w:pPr>
              <w:rPr>
                <w:sz w:val="10"/>
                <w:szCs w:val="10"/>
              </w:rPr>
            </w:pPr>
          </w:p>
        </w:tc>
        <w:tc>
          <w:tcPr>
            <w:tcW w:w="2335"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92" w:hRule="exact"/>
          <w:jc w:val="center"/>
        </w:trPr>
        <w:tc>
          <w:tcPr>
            <w:tcW w:w="958" w:type="dxa"/>
            <w:tcBorders>
              <w:top w:val="single" w:color="auto" w:sz="4" w:space="0"/>
              <w:left w:val="single" w:color="auto" w:sz="4" w:space="0"/>
            </w:tcBorders>
            <w:shd w:val="clear" w:color="auto" w:fill="FFFFFF"/>
          </w:tcPr>
          <w:p>
            <w:pPr>
              <w:rPr>
                <w:sz w:val="10"/>
                <w:szCs w:val="10"/>
              </w:rPr>
            </w:pPr>
          </w:p>
        </w:tc>
        <w:tc>
          <w:tcPr>
            <w:tcW w:w="1514" w:type="dxa"/>
            <w:tcBorders>
              <w:top w:val="single" w:color="auto" w:sz="4" w:space="0"/>
              <w:left w:val="single" w:color="auto" w:sz="4" w:space="0"/>
            </w:tcBorders>
            <w:shd w:val="clear" w:color="auto" w:fill="FFFFFF"/>
          </w:tcPr>
          <w:p>
            <w:pPr>
              <w:rPr>
                <w:sz w:val="10"/>
                <w:szCs w:val="10"/>
              </w:rPr>
            </w:pPr>
          </w:p>
        </w:tc>
        <w:tc>
          <w:tcPr>
            <w:tcW w:w="1459" w:type="dxa"/>
            <w:tcBorders>
              <w:top w:val="single" w:color="auto" w:sz="4" w:space="0"/>
              <w:left w:val="single" w:color="auto" w:sz="4" w:space="0"/>
            </w:tcBorders>
            <w:shd w:val="clear" w:color="auto" w:fill="FFFFFF"/>
          </w:tcPr>
          <w:p>
            <w:pPr>
              <w:rPr>
                <w:sz w:val="10"/>
                <w:szCs w:val="10"/>
              </w:rPr>
            </w:pPr>
          </w:p>
        </w:tc>
        <w:tc>
          <w:tcPr>
            <w:tcW w:w="1307" w:type="dxa"/>
            <w:tcBorders>
              <w:top w:val="single" w:color="auto" w:sz="4" w:space="0"/>
              <w:left w:val="single" w:color="auto" w:sz="4" w:space="0"/>
              <w:right w:val="single" w:color="auto" w:sz="4" w:space="0"/>
            </w:tcBorders>
            <w:shd w:val="clear" w:color="auto" w:fill="FFFFFF"/>
          </w:tcPr>
          <w:p>
            <w:pPr>
              <w:rPr>
                <w:sz w:val="10"/>
                <w:szCs w:val="10"/>
              </w:rPr>
            </w:pPr>
          </w:p>
        </w:tc>
        <w:tc>
          <w:tcPr>
            <w:tcW w:w="2103" w:type="dxa"/>
            <w:tcBorders>
              <w:top w:val="single" w:color="auto" w:sz="4" w:space="0"/>
              <w:left w:val="single" w:color="auto" w:sz="4" w:space="0"/>
              <w:right w:val="single" w:color="auto" w:sz="4" w:space="0"/>
            </w:tcBorders>
            <w:shd w:val="clear" w:color="auto" w:fill="FFFFFF"/>
          </w:tcPr>
          <w:p>
            <w:pPr>
              <w:rPr>
                <w:sz w:val="10"/>
                <w:szCs w:val="10"/>
              </w:rPr>
            </w:pPr>
          </w:p>
        </w:tc>
        <w:tc>
          <w:tcPr>
            <w:tcW w:w="2335"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77" w:hRule="exact"/>
          <w:jc w:val="center"/>
        </w:trPr>
        <w:tc>
          <w:tcPr>
            <w:tcW w:w="958" w:type="dxa"/>
            <w:tcBorders>
              <w:top w:val="single" w:color="auto" w:sz="4" w:space="0"/>
              <w:left w:val="single" w:color="auto" w:sz="4" w:space="0"/>
            </w:tcBorders>
            <w:shd w:val="clear" w:color="auto" w:fill="FFFFFF"/>
          </w:tcPr>
          <w:p>
            <w:pPr>
              <w:rPr>
                <w:sz w:val="10"/>
                <w:szCs w:val="10"/>
              </w:rPr>
            </w:pPr>
          </w:p>
        </w:tc>
        <w:tc>
          <w:tcPr>
            <w:tcW w:w="1514" w:type="dxa"/>
            <w:tcBorders>
              <w:top w:val="single" w:color="auto" w:sz="4" w:space="0"/>
              <w:left w:val="single" w:color="auto" w:sz="4" w:space="0"/>
            </w:tcBorders>
            <w:shd w:val="clear" w:color="auto" w:fill="FFFFFF"/>
          </w:tcPr>
          <w:p>
            <w:pPr>
              <w:rPr>
                <w:sz w:val="10"/>
                <w:szCs w:val="10"/>
              </w:rPr>
            </w:pPr>
          </w:p>
        </w:tc>
        <w:tc>
          <w:tcPr>
            <w:tcW w:w="1459" w:type="dxa"/>
            <w:tcBorders>
              <w:top w:val="single" w:color="auto" w:sz="4" w:space="0"/>
              <w:left w:val="single" w:color="auto" w:sz="4" w:space="0"/>
            </w:tcBorders>
            <w:shd w:val="clear" w:color="auto" w:fill="FFFFFF"/>
          </w:tcPr>
          <w:p>
            <w:pPr>
              <w:rPr>
                <w:sz w:val="10"/>
                <w:szCs w:val="10"/>
              </w:rPr>
            </w:pPr>
          </w:p>
        </w:tc>
        <w:tc>
          <w:tcPr>
            <w:tcW w:w="1307" w:type="dxa"/>
            <w:tcBorders>
              <w:top w:val="single" w:color="auto" w:sz="4" w:space="0"/>
              <w:left w:val="single" w:color="auto" w:sz="4" w:space="0"/>
              <w:right w:val="single" w:color="auto" w:sz="4" w:space="0"/>
            </w:tcBorders>
            <w:shd w:val="clear" w:color="auto" w:fill="FFFFFF"/>
          </w:tcPr>
          <w:p>
            <w:pPr>
              <w:rPr>
                <w:sz w:val="10"/>
                <w:szCs w:val="10"/>
              </w:rPr>
            </w:pPr>
          </w:p>
        </w:tc>
        <w:tc>
          <w:tcPr>
            <w:tcW w:w="2103" w:type="dxa"/>
            <w:tcBorders>
              <w:top w:val="single" w:color="auto" w:sz="4" w:space="0"/>
              <w:left w:val="single" w:color="auto" w:sz="4" w:space="0"/>
              <w:right w:val="single" w:color="auto" w:sz="4" w:space="0"/>
            </w:tcBorders>
            <w:shd w:val="clear" w:color="auto" w:fill="FFFFFF"/>
          </w:tcPr>
          <w:p>
            <w:pPr>
              <w:rPr>
                <w:sz w:val="10"/>
                <w:szCs w:val="10"/>
              </w:rPr>
            </w:pPr>
          </w:p>
        </w:tc>
        <w:tc>
          <w:tcPr>
            <w:tcW w:w="2335"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77" w:hRule="exact"/>
          <w:jc w:val="center"/>
        </w:trPr>
        <w:tc>
          <w:tcPr>
            <w:tcW w:w="958" w:type="dxa"/>
            <w:tcBorders>
              <w:top w:val="single" w:color="auto" w:sz="4" w:space="0"/>
              <w:left w:val="single" w:color="auto" w:sz="4" w:space="0"/>
            </w:tcBorders>
            <w:shd w:val="clear" w:color="auto" w:fill="FFFFFF"/>
          </w:tcPr>
          <w:p>
            <w:pPr>
              <w:rPr>
                <w:sz w:val="10"/>
                <w:szCs w:val="10"/>
              </w:rPr>
            </w:pPr>
          </w:p>
        </w:tc>
        <w:tc>
          <w:tcPr>
            <w:tcW w:w="1514" w:type="dxa"/>
            <w:tcBorders>
              <w:top w:val="single" w:color="auto" w:sz="4" w:space="0"/>
              <w:left w:val="single" w:color="auto" w:sz="4" w:space="0"/>
            </w:tcBorders>
            <w:shd w:val="clear" w:color="auto" w:fill="FFFFFF"/>
          </w:tcPr>
          <w:p>
            <w:pPr>
              <w:rPr>
                <w:sz w:val="10"/>
                <w:szCs w:val="10"/>
              </w:rPr>
            </w:pPr>
          </w:p>
        </w:tc>
        <w:tc>
          <w:tcPr>
            <w:tcW w:w="1459" w:type="dxa"/>
            <w:tcBorders>
              <w:top w:val="single" w:color="auto" w:sz="4" w:space="0"/>
              <w:left w:val="single" w:color="auto" w:sz="4" w:space="0"/>
            </w:tcBorders>
            <w:shd w:val="clear" w:color="auto" w:fill="FFFFFF"/>
          </w:tcPr>
          <w:p>
            <w:pPr>
              <w:rPr>
                <w:sz w:val="10"/>
                <w:szCs w:val="10"/>
              </w:rPr>
            </w:pPr>
          </w:p>
        </w:tc>
        <w:tc>
          <w:tcPr>
            <w:tcW w:w="1307" w:type="dxa"/>
            <w:tcBorders>
              <w:top w:val="single" w:color="auto" w:sz="4" w:space="0"/>
              <w:left w:val="single" w:color="auto" w:sz="4" w:space="0"/>
              <w:right w:val="single" w:color="auto" w:sz="4" w:space="0"/>
            </w:tcBorders>
            <w:shd w:val="clear" w:color="auto" w:fill="FFFFFF"/>
          </w:tcPr>
          <w:p>
            <w:pPr>
              <w:rPr>
                <w:sz w:val="10"/>
                <w:szCs w:val="10"/>
              </w:rPr>
            </w:pPr>
          </w:p>
        </w:tc>
        <w:tc>
          <w:tcPr>
            <w:tcW w:w="2103" w:type="dxa"/>
            <w:tcBorders>
              <w:top w:val="single" w:color="auto" w:sz="4" w:space="0"/>
              <w:left w:val="single" w:color="auto" w:sz="4" w:space="0"/>
              <w:right w:val="single" w:color="auto" w:sz="4" w:space="0"/>
            </w:tcBorders>
            <w:shd w:val="clear" w:color="auto" w:fill="FFFFFF"/>
          </w:tcPr>
          <w:p>
            <w:pPr>
              <w:rPr>
                <w:sz w:val="10"/>
                <w:szCs w:val="10"/>
              </w:rPr>
            </w:pPr>
          </w:p>
        </w:tc>
        <w:tc>
          <w:tcPr>
            <w:tcW w:w="2335"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77" w:hRule="exact"/>
          <w:jc w:val="center"/>
        </w:trPr>
        <w:tc>
          <w:tcPr>
            <w:tcW w:w="958" w:type="dxa"/>
            <w:tcBorders>
              <w:top w:val="single" w:color="auto" w:sz="4" w:space="0"/>
              <w:left w:val="single" w:color="auto" w:sz="4" w:space="0"/>
            </w:tcBorders>
            <w:shd w:val="clear" w:color="auto" w:fill="FFFFFF"/>
          </w:tcPr>
          <w:p>
            <w:pPr>
              <w:rPr>
                <w:sz w:val="10"/>
                <w:szCs w:val="10"/>
              </w:rPr>
            </w:pPr>
          </w:p>
        </w:tc>
        <w:tc>
          <w:tcPr>
            <w:tcW w:w="1514" w:type="dxa"/>
            <w:tcBorders>
              <w:top w:val="single" w:color="auto" w:sz="4" w:space="0"/>
              <w:left w:val="single" w:color="auto" w:sz="4" w:space="0"/>
            </w:tcBorders>
            <w:shd w:val="clear" w:color="auto" w:fill="FFFFFF"/>
          </w:tcPr>
          <w:p>
            <w:pPr>
              <w:rPr>
                <w:sz w:val="10"/>
                <w:szCs w:val="10"/>
              </w:rPr>
            </w:pPr>
          </w:p>
        </w:tc>
        <w:tc>
          <w:tcPr>
            <w:tcW w:w="1459" w:type="dxa"/>
            <w:tcBorders>
              <w:top w:val="single" w:color="auto" w:sz="4" w:space="0"/>
              <w:left w:val="single" w:color="auto" w:sz="4" w:space="0"/>
            </w:tcBorders>
            <w:shd w:val="clear" w:color="auto" w:fill="FFFFFF"/>
          </w:tcPr>
          <w:p>
            <w:pPr>
              <w:rPr>
                <w:sz w:val="10"/>
                <w:szCs w:val="10"/>
              </w:rPr>
            </w:pPr>
          </w:p>
        </w:tc>
        <w:tc>
          <w:tcPr>
            <w:tcW w:w="1307" w:type="dxa"/>
            <w:tcBorders>
              <w:top w:val="single" w:color="auto" w:sz="4" w:space="0"/>
              <w:left w:val="single" w:color="auto" w:sz="4" w:space="0"/>
              <w:right w:val="single" w:color="auto" w:sz="4" w:space="0"/>
            </w:tcBorders>
            <w:shd w:val="clear" w:color="auto" w:fill="FFFFFF"/>
          </w:tcPr>
          <w:p>
            <w:pPr>
              <w:rPr>
                <w:sz w:val="10"/>
                <w:szCs w:val="10"/>
              </w:rPr>
            </w:pPr>
          </w:p>
        </w:tc>
        <w:tc>
          <w:tcPr>
            <w:tcW w:w="2103" w:type="dxa"/>
            <w:tcBorders>
              <w:top w:val="single" w:color="auto" w:sz="4" w:space="0"/>
              <w:left w:val="single" w:color="auto" w:sz="4" w:space="0"/>
              <w:right w:val="single" w:color="auto" w:sz="4" w:space="0"/>
            </w:tcBorders>
            <w:shd w:val="clear" w:color="auto" w:fill="FFFFFF"/>
          </w:tcPr>
          <w:p>
            <w:pPr>
              <w:rPr>
                <w:sz w:val="10"/>
                <w:szCs w:val="10"/>
              </w:rPr>
            </w:pPr>
          </w:p>
        </w:tc>
        <w:tc>
          <w:tcPr>
            <w:tcW w:w="2335"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77" w:hRule="exact"/>
          <w:jc w:val="center"/>
        </w:trPr>
        <w:tc>
          <w:tcPr>
            <w:tcW w:w="958" w:type="dxa"/>
            <w:tcBorders>
              <w:top w:val="single" w:color="auto" w:sz="4" w:space="0"/>
              <w:left w:val="single" w:color="auto" w:sz="4" w:space="0"/>
              <w:bottom w:val="single" w:color="auto" w:sz="4" w:space="0"/>
            </w:tcBorders>
            <w:shd w:val="clear" w:color="auto" w:fill="FFFFFF"/>
          </w:tcPr>
          <w:p>
            <w:pPr>
              <w:rPr>
                <w:rFonts w:ascii="宋体" w:hAnsi="宋体" w:eastAsia="宋体" w:cs="宋体"/>
                <w:color w:val="000000"/>
                <w:kern w:val="2"/>
                <w:sz w:val="20"/>
                <w:szCs w:val="20"/>
                <w:lang w:val="zh-TW" w:eastAsia="zh-TW" w:bidi="zh-TW"/>
              </w:rPr>
            </w:pPr>
          </w:p>
        </w:tc>
        <w:tc>
          <w:tcPr>
            <w:tcW w:w="1514" w:type="dxa"/>
            <w:tcBorders>
              <w:top w:val="single" w:color="auto" w:sz="4" w:space="0"/>
              <w:left w:val="single" w:color="auto" w:sz="4" w:space="0"/>
              <w:bottom w:val="single" w:color="auto" w:sz="4" w:space="0"/>
            </w:tcBorders>
            <w:shd w:val="clear" w:color="auto" w:fill="FFFFFF"/>
          </w:tcPr>
          <w:p>
            <w:pPr>
              <w:rPr>
                <w:rFonts w:ascii="宋体" w:hAnsi="宋体" w:eastAsia="宋体" w:cs="宋体"/>
                <w:color w:val="000000"/>
                <w:kern w:val="2"/>
                <w:sz w:val="20"/>
                <w:szCs w:val="20"/>
                <w:lang w:val="zh-TW" w:eastAsia="zh-TW" w:bidi="zh-TW"/>
              </w:rPr>
            </w:pPr>
          </w:p>
        </w:tc>
        <w:tc>
          <w:tcPr>
            <w:tcW w:w="1459" w:type="dxa"/>
            <w:tcBorders>
              <w:top w:val="single" w:color="auto" w:sz="4" w:space="0"/>
              <w:left w:val="single" w:color="auto" w:sz="4" w:space="0"/>
              <w:bottom w:val="single" w:color="auto" w:sz="4" w:space="0"/>
            </w:tcBorders>
            <w:shd w:val="clear" w:color="auto" w:fill="FFFFFF"/>
          </w:tcPr>
          <w:p>
            <w:pPr>
              <w:rPr>
                <w:rFonts w:ascii="宋体" w:hAnsi="宋体" w:eastAsia="宋体" w:cs="宋体"/>
                <w:color w:val="000000"/>
                <w:kern w:val="2"/>
                <w:sz w:val="20"/>
                <w:szCs w:val="20"/>
                <w:lang w:val="zh-TW" w:eastAsia="zh-TW" w:bidi="zh-TW"/>
              </w:rPr>
            </w:pPr>
          </w:p>
        </w:tc>
        <w:tc>
          <w:tcPr>
            <w:tcW w:w="1307" w:type="dxa"/>
            <w:tcBorders>
              <w:top w:val="single" w:color="auto" w:sz="4" w:space="0"/>
              <w:left w:val="single" w:color="auto" w:sz="4" w:space="0"/>
              <w:bottom w:val="single" w:color="auto" w:sz="4" w:space="0"/>
              <w:right w:val="single" w:color="auto" w:sz="4" w:space="0"/>
            </w:tcBorders>
            <w:shd w:val="clear" w:color="auto" w:fill="FFFFFF"/>
          </w:tcPr>
          <w:p>
            <w:pPr>
              <w:rPr>
                <w:rFonts w:ascii="宋体" w:hAnsi="宋体" w:eastAsia="宋体" w:cs="宋体"/>
                <w:color w:val="000000"/>
                <w:kern w:val="2"/>
                <w:sz w:val="20"/>
                <w:szCs w:val="20"/>
                <w:lang w:val="zh-TW" w:eastAsia="zh-TW" w:bidi="zh-TW"/>
              </w:rPr>
            </w:pPr>
          </w:p>
        </w:tc>
        <w:tc>
          <w:tcPr>
            <w:tcW w:w="2103"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c>
          <w:tcPr>
            <w:tcW w:w="2335"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289" w:hRule="exact"/>
          <w:jc w:val="center"/>
        </w:trPr>
        <w:tc>
          <w:tcPr>
            <w:tcW w:w="5238" w:type="dxa"/>
            <w:gridSpan w:val="4"/>
            <w:tcBorders>
              <w:top w:val="single" w:color="auto" w:sz="4" w:space="0"/>
              <w:left w:val="single" w:color="auto" w:sz="4" w:space="0"/>
              <w:bottom w:val="single" w:color="auto" w:sz="4" w:space="0"/>
              <w:right w:val="single" w:color="auto" w:sz="4" w:space="0"/>
            </w:tcBorders>
            <w:shd w:val="clear" w:color="auto" w:fill="FFFFFF"/>
          </w:tcPr>
          <w:p>
            <w:pPr>
              <w:jc w:val="right"/>
              <w:rPr>
                <w:rFonts w:hint="eastAsia" w:ascii="宋体" w:hAnsi="宋体" w:eastAsia="宋体" w:cs="宋体"/>
                <w:color w:val="000000"/>
                <w:kern w:val="2"/>
                <w:sz w:val="20"/>
                <w:szCs w:val="20"/>
                <w:lang w:val="en-US" w:eastAsia="zh-CN" w:bidi="zh-TW"/>
              </w:rPr>
            </w:pPr>
            <w:r>
              <w:rPr>
                <w:rFonts w:hint="eastAsia" w:ascii="宋体" w:hAnsi="宋体" w:eastAsia="宋体" w:cs="宋体"/>
                <w:color w:val="000000"/>
                <w:kern w:val="2"/>
                <w:sz w:val="20"/>
                <w:szCs w:val="20"/>
                <w:lang w:val="en-US" w:eastAsia="zh-CN" w:bidi="zh-TW"/>
              </w:rPr>
              <w:t>合计：</w:t>
            </w:r>
          </w:p>
        </w:tc>
        <w:tc>
          <w:tcPr>
            <w:tcW w:w="2103"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c>
          <w:tcPr>
            <w:tcW w:w="2335"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pStyle w:val="25"/>
        <w:spacing w:line="441" w:lineRule="exact"/>
        <w:ind w:firstLine="440"/>
        <w:jc w:val="left"/>
        <w:rPr>
          <w:color w:val="000000"/>
        </w:rPr>
      </w:pPr>
      <w:r>
        <w:rPr>
          <w:color w:val="000000"/>
        </w:rPr>
        <w:t>注：总价包含完成</w:t>
      </w:r>
      <w:r>
        <w:rPr>
          <w:rFonts w:hint="eastAsia"/>
          <w:color w:val="000000"/>
          <w:lang w:val="en-US" w:eastAsia="zh-CN"/>
        </w:rPr>
        <w:t>配送</w:t>
      </w:r>
      <w:r>
        <w:rPr>
          <w:color w:val="000000"/>
        </w:rPr>
        <w:t>并达到采购人要求后的全部费用</w:t>
      </w:r>
    </w:p>
    <w:p>
      <w:pPr>
        <w:pStyle w:val="25"/>
        <w:spacing w:line="441" w:lineRule="exact"/>
        <w:ind w:firstLine="440"/>
        <w:jc w:val="left"/>
        <w:rPr>
          <w:color w:val="000000"/>
        </w:rPr>
      </w:pPr>
    </w:p>
    <w:p>
      <w:pPr>
        <w:pStyle w:val="25"/>
        <w:spacing w:line="441" w:lineRule="exact"/>
        <w:ind w:firstLine="440"/>
        <w:jc w:val="left"/>
        <w:rPr>
          <w:color w:val="000000"/>
        </w:rPr>
      </w:pPr>
    </w:p>
    <w:p>
      <w:pPr>
        <w:pStyle w:val="25"/>
        <w:spacing w:line="441" w:lineRule="exact"/>
        <w:ind w:firstLine="440"/>
        <w:jc w:val="left"/>
        <w:rPr>
          <w:color w:val="000000"/>
        </w:rPr>
      </w:pPr>
    </w:p>
    <w:p>
      <w:pPr>
        <w:pStyle w:val="25"/>
        <w:spacing w:line="240" w:lineRule="auto"/>
        <w:ind w:firstLine="0"/>
        <w:jc w:val="left"/>
      </w:pPr>
      <w:r>
        <w:rPr>
          <w:color w:val="000000"/>
        </w:rPr>
        <w:t>供应商：（盖章）</w:t>
      </w:r>
    </w:p>
    <w:p>
      <w:pPr>
        <w:pStyle w:val="25"/>
        <w:spacing w:line="240" w:lineRule="auto"/>
        <w:ind w:firstLine="0"/>
        <w:jc w:val="left"/>
      </w:pPr>
      <w:r>
        <w:rPr>
          <w:color w:val="000000"/>
        </w:rPr>
        <w:t>法定代表人或授权委托人：（签字或盖章）</w:t>
      </w:r>
    </w:p>
    <w:p>
      <w:pPr>
        <w:pStyle w:val="25"/>
        <w:spacing w:line="240" w:lineRule="auto"/>
        <w:ind w:left="1100" w:firstLine="0"/>
        <w:jc w:val="right"/>
        <w:rPr>
          <w:rFonts w:hAnsi="Courier New" w:cs="Calibri"/>
          <w:b/>
          <w:color w:val="000000"/>
          <w:sz w:val="32"/>
          <w:szCs w:val="32"/>
        </w:rPr>
      </w:pPr>
      <w:r>
        <w:rPr>
          <w:color w:val="000000"/>
        </w:rPr>
        <w:t xml:space="preserve">年 </w:t>
      </w:r>
      <w:r>
        <w:rPr>
          <w:color w:val="000000"/>
          <w:lang w:val="zh-CN" w:eastAsia="zh-CN" w:bidi="zh-CN"/>
        </w:rPr>
        <w:t>月</w:t>
      </w:r>
      <w:r>
        <w:rPr>
          <w:rFonts w:hint="eastAsia"/>
          <w:color w:val="000000"/>
          <w:lang w:val="en-US" w:eastAsia="zh-CN" w:bidi="zh-CN"/>
        </w:rPr>
        <w:t xml:space="preserve"> 日</w:t>
      </w:r>
    </w:p>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7"/>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p>
    <w:p>
      <w:pPr>
        <w:snapToGrid w:val="0"/>
        <w:spacing w:before="120"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20"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20"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20"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20"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20"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1B302"/>
    <w:multiLevelType w:val="singleLevel"/>
    <w:tmpl w:val="A961B30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904DC"/>
    <w:rsid w:val="00590FB2"/>
    <w:rsid w:val="00596758"/>
    <w:rsid w:val="005A3E00"/>
    <w:rsid w:val="005B5BDB"/>
    <w:rsid w:val="005E5076"/>
    <w:rsid w:val="006208AC"/>
    <w:rsid w:val="0064134D"/>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7853"/>
    <w:rsid w:val="00BE6561"/>
    <w:rsid w:val="00BF0177"/>
    <w:rsid w:val="00C02C01"/>
    <w:rsid w:val="00C21E58"/>
    <w:rsid w:val="00C30370"/>
    <w:rsid w:val="00C36592"/>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32A8"/>
    <w:rsid w:val="00EB6E6F"/>
    <w:rsid w:val="00EE1BC2"/>
    <w:rsid w:val="00F1447C"/>
    <w:rsid w:val="00F47CB8"/>
    <w:rsid w:val="00F55F69"/>
    <w:rsid w:val="00F60E99"/>
    <w:rsid w:val="00F67C17"/>
    <w:rsid w:val="00F806B4"/>
    <w:rsid w:val="00F8364B"/>
    <w:rsid w:val="00F94595"/>
    <w:rsid w:val="00FA0D28"/>
    <w:rsid w:val="00FB3B21"/>
    <w:rsid w:val="00FE3298"/>
    <w:rsid w:val="01B66B6C"/>
    <w:rsid w:val="02625B16"/>
    <w:rsid w:val="04525DF9"/>
    <w:rsid w:val="07864920"/>
    <w:rsid w:val="08797E46"/>
    <w:rsid w:val="0B2F7FEB"/>
    <w:rsid w:val="0CFF3BA2"/>
    <w:rsid w:val="0DDF2D96"/>
    <w:rsid w:val="162172D7"/>
    <w:rsid w:val="17EC4843"/>
    <w:rsid w:val="230C6132"/>
    <w:rsid w:val="24062DFC"/>
    <w:rsid w:val="24722845"/>
    <w:rsid w:val="267D2BB8"/>
    <w:rsid w:val="284E26BD"/>
    <w:rsid w:val="2BAF7B59"/>
    <w:rsid w:val="302E16EF"/>
    <w:rsid w:val="303D69DF"/>
    <w:rsid w:val="39FA5FFB"/>
    <w:rsid w:val="45250531"/>
    <w:rsid w:val="456F454F"/>
    <w:rsid w:val="45DB2F02"/>
    <w:rsid w:val="4C81353D"/>
    <w:rsid w:val="55690666"/>
    <w:rsid w:val="5B527EF8"/>
    <w:rsid w:val="5CFC6D15"/>
    <w:rsid w:val="642464A6"/>
    <w:rsid w:val="6705150C"/>
    <w:rsid w:val="71B870AF"/>
    <w:rsid w:val="76042F76"/>
    <w:rsid w:val="797B7EEE"/>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rPr>
  </w:style>
  <w:style w:type="paragraph" w:styleId="4">
    <w:name w:val="Date"/>
    <w:basedOn w:val="1"/>
    <w:next w:val="1"/>
    <w:link w:val="12"/>
    <w:semiHidden/>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4"/>
    <w:semiHidden/>
    <w:qFormat/>
    <w:uiPriority w:val="99"/>
  </w:style>
  <w:style w:type="character" w:customStyle="1" w:styleId="13">
    <w:name w:val="标题 2 字符"/>
    <w:basedOn w:val="9"/>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 w:type="character" w:customStyle="1" w:styleId="17">
    <w:name w:val="font21"/>
    <w:basedOn w:val="9"/>
    <w:qFormat/>
    <w:uiPriority w:val="0"/>
    <w:rPr>
      <w:rFonts w:ascii="Arial" w:hAnsi="Arial" w:cs="Arial"/>
      <w:color w:val="000000"/>
      <w:sz w:val="16"/>
      <w:szCs w:val="16"/>
      <w:u w:val="none"/>
    </w:rPr>
  </w:style>
  <w:style w:type="character" w:customStyle="1" w:styleId="18">
    <w:name w:val="font71"/>
    <w:basedOn w:val="9"/>
    <w:qFormat/>
    <w:uiPriority w:val="0"/>
    <w:rPr>
      <w:rFonts w:hint="eastAsia" w:ascii="宋体" w:hAnsi="宋体" w:eastAsia="宋体" w:cs="宋体"/>
      <w:color w:val="000000"/>
      <w:sz w:val="18"/>
      <w:szCs w:val="18"/>
      <w:u w:val="none"/>
    </w:rPr>
  </w:style>
  <w:style w:type="character" w:customStyle="1" w:styleId="19">
    <w:name w:val="font41"/>
    <w:basedOn w:val="9"/>
    <w:qFormat/>
    <w:uiPriority w:val="0"/>
    <w:rPr>
      <w:rFonts w:hint="eastAsia" w:ascii="宋体" w:hAnsi="宋体" w:eastAsia="宋体" w:cs="宋体"/>
      <w:color w:val="000000"/>
      <w:sz w:val="16"/>
      <w:szCs w:val="16"/>
      <w:u w:val="none"/>
    </w:rPr>
  </w:style>
  <w:style w:type="character" w:customStyle="1" w:styleId="20">
    <w:name w:val="font61"/>
    <w:basedOn w:val="9"/>
    <w:qFormat/>
    <w:uiPriority w:val="0"/>
    <w:rPr>
      <w:rFonts w:hint="default" w:ascii="PMingLiU" w:hAnsi="PMingLiU" w:eastAsia="PMingLiU" w:cs="PMingLiU"/>
      <w:color w:val="000000"/>
      <w:sz w:val="20"/>
      <w:szCs w:val="20"/>
      <w:u w:val="none"/>
    </w:rPr>
  </w:style>
  <w:style w:type="character" w:customStyle="1" w:styleId="21">
    <w:name w:val="font01"/>
    <w:basedOn w:val="9"/>
    <w:qFormat/>
    <w:uiPriority w:val="0"/>
    <w:rPr>
      <w:rFonts w:hint="default" w:ascii="MingLiU" w:hAnsi="MingLiU" w:eastAsia="MingLiU" w:cs="MingLiU"/>
      <w:color w:val="000000"/>
      <w:sz w:val="20"/>
      <w:szCs w:val="20"/>
      <w:u w:val="none"/>
    </w:rPr>
  </w:style>
  <w:style w:type="character" w:customStyle="1" w:styleId="22">
    <w:name w:val="font31"/>
    <w:basedOn w:val="9"/>
    <w:qFormat/>
    <w:uiPriority w:val="0"/>
    <w:rPr>
      <w:rFonts w:hint="eastAsia" w:ascii="宋体" w:hAnsi="宋体" w:eastAsia="宋体" w:cs="宋体"/>
      <w:color w:val="000000"/>
      <w:sz w:val="20"/>
      <w:szCs w:val="20"/>
      <w:u w:val="none"/>
    </w:rPr>
  </w:style>
  <w:style w:type="character" w:customStyle="1" w:styleId="23">
    <w:name w:val="font101"/>
    <w:basedOn w:val="9"/>
    <w:qFormat/>
    <w:uiPriority w:val="0"/>
    <w:rPr>
      <w:rFonts w:hint="eastAsia" w:ascii="宋体" w:hAnsi="宋体" w:eastAsia="宋体" w:cs="宋体"/>
      <w:i/>
      <w:iCs/>
      <w:color w:val="000000"/>
      <w:sz w:val="20"/>
      <w:szCs w:val="20"/>
      <w:u w:val="none"/>
    </w:rPr>
  </w:style>
  <w:style w:type="paragraph" w:customStyle="1" w:styleId="24">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5">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6">
    <w:name w:val="Table caption|1"/>
    <w:basedOn w:val="1"/>
    <w:qFormat/>
    <w:uiPriority w:val="0"/>
    <w:rPr>
      <w:rFonts w:ascii="宋体" w:hAnsi="宋体" w:eastAsia="宋体" w:cs="宋体"/>
      <w:sz w:val="20"/>
      <w:szCs w:val="20"/>
      <w:lang w:val="zh-TW" w:eastAsia="zh-TW" w:bidi="zh-TW"/>
    </w:rPr>
  </w:style>
  <w:style w:type="paragraph" w:customStyle="1" w:styleId="27">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8">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29">
    <w:name w:val="Header or footer|2"/>
    <w:basedOn w:val="1"/>
    <w:qFormat/>
    <w:uiPriority w:val="0"/>
    <w:rPr>
      <w:sz w:val="20"/>
      <w:szCs w:val="20"/>
      <w:lang w:val="zh-TW" w:eastAsia="zh-TW" w:bidi="zh-TW"/>
    </w:rPr>
  </w:style>
  <w:style w:type="paragraph" w:styleId="30">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3527</Words>
  <Characters>20110</Characters>
  <Lines>167</Lines>
  <Paragraphs>47</Paragraphs>
  <TotalTime>0</TotalTime>
  <ScaleCrop>false</ScaleCrop>
  <LinksUpToDate>false</LinksUpToDate>
  <CharactersWithSpaces>23590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2022-05-16T10:14:00Z</dcterms:created>
  <dc:creator>魏宝兴</dc:creator>
  <cp:lastModifiedBy>7月LEO</cp:lastModifiedBy>
  <cp:lastPrinted>2022-06-07T03:55:00Z</cp:lastPrinted>
  <dcterms:modified xsi:type="dcterms:W3CDTF">2022-06-08T04:03:38Z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003F4B7C55754348827E781723701253</vt:lpwstr>
  </property>
</Properties>
</file>