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240" w:beforeLines="100" w:after="120" w:afterLines="50" w:line="600" w:lineRule="exact"/>
        <w:jc w:val="center"/>
        <w:rPr>
          <w:rFonts w:ascii="方正小标宋简体" w:hAnsi="方正小标宋简体" w:eastAsia="方正小标宋简体" w:cs="方正小标宋简体"/>
          <w:b/>
          <w:color w:val="000000"/>
          <w:sz w:val="44"/>
          <w:szCs w:val="44"/>
        </w:rPr>
      </w:pPr>
      <w:r>
        <w:rPr>
          <w:rFonts w:hint="eastAsia" w:ascii="方正小标宋简体" w:hAnsi="宋体" w:eastAsia="方正小标宋简体" w:cs="Times New Roman"/>
          <w:b/>
          <w:sz w:val="72"/>
          <w:szCs w:val="72"/>
        </w:rPr>
        <w:t>竞争性磋商文件</w:t>
      </w:r>
    </w:p>
    <w:p>
      <w:pPr>
        <w:snapToGrid w:val="0"/>
        <w:spacing w:before="120"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营养食堂</w:t>
      </w:r>
      <w:r>
        <w:rPr>
          <w:rFonts w:hint="eastAsia" w:ascii="仿宋_GB2312" w:hAnsi="宋体" w:eastAsia="仿宋_GB2312" w:cs="Times New Roman"/>
          <w:b/>
          <w:color w:val="000000"/>
          <w:sz w:val="32"/>
          <w:szCs w:val="32"/>
        </w:rPr>
        <w:t>米、面、粮、油类</w:t>
      </w:r>
      <w:r>
        <w:rPr>
          <w:rFonts w:hint="eastAsia" w:ascii="仿宋_GB2312" w:hAnsi="宋体" w:eastAsia="仿宋_GB2312" w:cs="Times New Roman"/>
          <w:b/>
          <w:color w:val="000000"/>
          <w:sz w:val="32"/>
          <w:szCs w:val="32"/>
          <w:lang w:val="en-US" w:eastAsia="zh-CN"/>
        </w:rPr>
        <w:t>食材供应</w:t>
      </w:r>
      <w:r>
        <w:rPr>
          <w:rFonts w:hint="eastAsia" w:ascii="仿宋_GB2312" w:hAnsi="宋体" w:eastAsia="仿宋_GB2312" w:cs="Times New Roman"/>
          <w:b/>
          <w:color w:val="000000"/>
          <w:sz w:val="32"/>
          <w:szCs w:val="32"/>
        </w:rPr>
        <w:t>商院内遴选</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项目编号：GXGSYY-CGB-</w:t>
      </w:r>
      <w:r>
        <w:rPr>
          <w:rFonts w:hint="eastAsia" w:ascii="仿宋_GB2312" w:hAnsi="宋体" w:eastAsia="仿宋_GB2312" w:cs="Times New Roman"/>
          <w:b/>
          <w:color w:val="000000"/>
          <w:sz w:val="32"/>
          <w:szCs w:val="32"/>
          <w:lang w:val="en-US" w:eastAsia="zh-CN"/>
        </w:rPr>
        <w:t>YYST</w:t>
      </w:r>
      <w:r>
        <w:rPr>
          <w:rFonts w:hint="eastAsia" w:ascii="仿宋_GB2312" w:hAnsi="宋体" w:eastAsia="仿宋_GB2312" w:cs="Times New Roman"/>
          <w:b/>
          <w:color w:val="000000"/>
          <w:sz w:val="32"/>
          <w:szCs w:val="32"/>
        </w:rPr>
        <w:t>-2022-0</w:t>
      </w:r>
      <w:r>
        <w:rPr>
          <w:rFonts w:hint="eastAsia" w:ascii="仿宋_GB2312" w:hAnsi="宋体" w:eastAsia="仿宋_GB2312" w:cs="Times New Roman"/>
          <w:b/>
          <w:color w:val="000000"/>
          <w:sz w:val="32"/>
          <w:szCs w:val="32"/>
          <w:lang w:val="en-US" w:eastAsia="zh-CN"/>
        </w:rPr>
        <w:t>1</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22</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28359012"/>
      <w:bookmarkStart w:id="3" w:name="_Toc44229878"/>
      <w:bookmarkStart w:id="4" w:name="_Toc35393798"/>
      <w:bookmarkStart w:id="5" w:name="_Toc28359089"/>
      <w:bookmarkStart w:id="6" w:name="_Toc47452205"/>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项目编号：GXGSYY-CGB-YYST-2022-01</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val="en-US" w:eastAsia="zh-CN"/>
        </w:rPr>
        <w:t>营养食堂</w:t>
      </w:r>
      <w:r>
        <w:rPr>
          <w:rFonts w:hint="eastAsia" w:ascii="宋体" w:hAnsi="宋体" w:eastAsia="宋体" w:cs="Times New Roman"/>
          <w:color w:val="000000"/>
          <w:szCs w:val="21"/>
        </w:rPr>
        <w:t>米、面、粮、油类</w:t>
      </w:r>
      <w:r>
        <w:rPr>
          <w:rFonts w:hint="eastAsia" w:ascii="宋体" w:hAnsi="宋体" w:eastAsia="宋体" w:cs="Times New Roman"/>
          <w:color w:val="000000"/>
          <w:szCs w:val="21"/>
          <w:lang w:val="en-US" w:eastAsia="zh-CN"/>
        </w:rPr>
        <w:t>食材供应</w:t>
      </w:r>
      <w:r>
        <w:rPr>
          <w:rFonts w:hint="eastAsia" w:ascii="宋体" w:hAnsi="宋体" w:eastAsia="宋体" w:cs="Times New Roman"/>
          <w:color w:val="000000"/>
          <w:szCs w:val="21"/>
        </w:rPr>
        <w:t>商院内遴选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47452206"/>
      <w:bookmarkStart w:id="8" w:name="_Toc28359090"/>
      <w:bookmarkStart w:id="9" w:name="_Toc28359013"/>
      <w:bookmarkStart w:id="10" w:name="_Toc44229879"/>
      <w:bookmarkStart w:id="11" w:name="_Toc35393799"/>
      <w:bookmarkStart w:id="12" w:name="_Toc35393630"/>
      <w:r>
        <w:rPr>
          <w:rFonts w:hint="eastAsia" w:ascii="宋体" w:hAnsi="宋体" w:eastAsia="宋体" w:cs="Times New Roman"/>
          <w:color w:val="000000"/>
          <w:szCs w:val="21"/>
        </w:rPr>
        <w:t>.服务期限：2年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65"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val="en-US" w:eastAsia="zh-CN"/>
              </w:rPr>
              <w:t>广西骨伤医院营养食堂米、面、粮、油类食材供应商院内遴选</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一、粮、大米：</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 xml:space="preserve">1、外表饱满细腻，颜色自然光亮，有自然的清香味，口感松软； </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2、无杂质，无黄粒米、病斑粒、无稻谷、无虫、无异味或霉味，无米糠米、未脱皮的完整糙米。</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3、包装完整，商标、厂名、厂址、质量等级、重量、QS证号、每袋米的封口处应有生产日期或合格标签等各类标识清楚。</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二、食用油（调和油）：</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供应的油类产品必须达到国家规定的食用标准，符合行业标准，符合国家食品安全要求，具有正常植物油的色泽、透明度、气味和滋味，无焦臭、酸败及其他异味。</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三、面粉：</w:t>
            </w:r>
          </w:p>
          <w:p>
            <w:pPr>
              <w:spacing w:line="320" w:lineRule="exact"/>
              <w:jc w:val="lef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包括：一等面、二等面、高低筋面粉等，要求：符合行业标准，有QS认证标志，符合食品安全要求。</w:t>
            </w:r>
          </w:p>
          <w:p>
            <w:pPr>
              <w:spacing w:line="320" w:lineRule="exact"/>
              <w:rPr>
                <w:rFonts w:hint="eastAsia" w:ascii="宋体" w:hAnsi="宋体" w:eastAsia="宋体" w:cs="Calibri"/>
                <w:color w:val="000000"/>
                <w:szCs w:val="21"/>
                <w:lang w:val="en-US" w:eastAsia="zh-CN"/>
              </w:rPr>
            </w:pPr>
            <w:r>
              <w:rPr>
                <w:rFonts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hint="eastAsia" w:ascii="宋体" w:hAnsi="宋体" w:eastAsia="宋体" w:cs="Times New Roman"/>
          <w:color w:val="000000"/>
          <w:szCs w:val="21"/>
          <w:lang w:eastAsia="zh-CN"/>
        </w:rPr>
      </w:pPr>
      <w:r>
        <w:rPr>
          <w:rFonts w:ascii="宋体" w:hAnsi="宋体" w:eastAsia="宋体" w:cs="Times New Roman"/>
          <w:color w:val="000000"/>
          <w:szCs w:val="21"/>
        </w:rPr>
        <w:t>3.国内注册，具有法人资格，具备相关项目经营范围的单位</w:t>
      </w:r>
      <w:r>
        <w:rPr>
          <w:rFonts w:hint="eastAsia" w:ascii="宋体" w:hAnsi="宋体" w:eastAsia="宋体" w:cs="Times New Roman"/>
          <w:color w:val="000000"/>
          <w:szCs w:val="21"/>
          <w:lang w:eastAsia="zh-CN"/>
        </w:rPr>
        <w:t>；</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4.具有食品经营许可证。</w:t>
      </w:r>
    </w:p>
    <w:bookmarkEnd w:id="13"/>
    <w:bookmarkEnd w:id="14"/>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14</w:t>
      </w:r>
      <w:r>
        <w:rPr>
          <w:rFonts w:ascii="宋体" w:hAnsi="宋体" w:eastAsia="宋体" w:cs="Times New Roman"/>
          <w:color w:val="000000"/>
          <w:szCs w:val="21"/>
          <w:highlight w:val="none"/>
        </w:rPr>
        <w:t>日18时00分。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、遴选文件提交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响应文件提交开始时间：</w:t>
      </w:r>
      <w:r>
        <w:rPr>
          <w:rFonts w:hint="eastAsia" w:ascii="宋体" w:hAnsi="宋体" w:eastAsia="宋体" w:cs="Calibri"/>
          <w:bCs/>
          <w:color w:val="000000"/>
          <w:szCs w:val="21"/>
          <w:highlight w:val="none"/>
          <w:u w:val="single"/>
        </w:rPr>
        <w:t>202</w:t>
      </w:r>
      <w:r>
        <w:rPr>
          <w:rFonts w:ascii="宋体" w:hAnsi="宋体" w:eastAsia="宋体" w:cs="Calibri"/>
          <w:bCs/>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hint="eastAsia" w:ascii="宋体" w:hAnsi="宋体" w:eastAsia="宋体" w:cs="Calibri"/>
          <w:bCs/>
          <w:color w:val="000000"/>
          <w:szCs w:val="21"/>
          <w:highlight w:val="non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响应文件提交截止时间：</w:t>
      </w:r>
      <w:r>
        <w:rPr>
          <w:rFonts w:hint="eastAsia" w:ascii="宋体" w:hAnsi="宋体" w:eastAsia="宋体" w:cs="Calibri"/>
          <w:color w:val="000000"/>
          <w:szCs w:val="21"/>
          <w:highlight w:val="none"/>
          <w:u w:val="single"/>
        </w:rPr>
        <w:t>202</w:t>
      </w:r>
      <w:r>
        <w:rPr>
          <w:rFonts w:ascii="宋体" w:hAnsi="宋体" w:eastAsia="宋体" w:cs="Calibri"/>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14</w:t>
      </w:r>
      <w:r>
        <w:rPr>
          <w:rFonts w:hint="eastAsia" w:ascii="宋体" w:hAnsi="宋体" w:eastAsia="宋体" w:cs="Calibri"/>
          <w:bCs/>
          <w:color w:val="000000"/>
          <w:szCs w:val="21"/>
          <w:highlight w:val="none"/>
          <w:u w:val="single"/>
        </w:rPr>
        <w:t xml:space="preserve">日 </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bookmarkStart w:id="27" w:name="_GoBack"/>
      <w:bookmarkEnd w:id="27"/>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17344229910</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w:t>
      </w: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营养食堂</w:t>
      </w:r>
      <w:r>
        <w:rPr>
          <w:rFonts w:hint="eastAsia" w:ascii="宋体" w:hAnsi="宋体" w:eastAsia="宋体" w:cs="Times New Roman"/>
          <w:color w:val="000000"/>
          <w:szCs w:val="21"/>
        </w:rPr>
        <w:t>米、面、粮、油类</w:t>
      </w:r>
      <w:r>
        <w:rPr>
          <w:rFonts w:hint="eastAsia" w:ascii="宋体" w:hAnsi="宋体" w:eastAsia="宋体" w:cs="Times New Roman"/>
          <w:color w:val="000000"/>
          <w:szCs w:val="21"/>
          <w:lang w:val="en-US" w:eastAsia="zh-CN"/>
        </w:rPr>
        <w:t>食材供应</w:t>
      </w:r>
      <w:r>
        <w:rPr>
          <w:rFonts w:hint="eastAsia" w:ascii="宋体" w:hAnsi="宋体" w:eastAsia="宋体" w:cs="Times New Roman"/>
          <w:color w:val="000000"/>
          <w:szCs w:val="21"/>
        </w:rPr>
        <w:t>商院内遴选</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7"/>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技术及服务需求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7"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营养食堂</w:t>
            </w:r>
            <w:r>
              <w:rPr>
                <w:rFonts w:hint="eastAsia" w:ascii="宋体" w:hAnsi="宋体" w:eastAsia="宋体" w:cs="Times New Roman"/>
                <w:color w:val="000000"/>
                <w:szCs w:val="21"/>
              </w:rPr>
              <w:t>米、面、粮、油类</w:t>
            </w:r>
            <w:r>
              <w:rPr>
                <w:rFonts w:hint="eastAsia" w:ascii="宋体" w:hAnsi="宋体" w:eastAsia="宋体" w:cs="Times New Roman"/>
                <w:color w:val="000000"/>
                <w:szCs w:val="21"/>
                <w:lang w:val="en-US" w:eastAsia="zh-CN"/>
              </w:rPr>
              <w:t>食材供应</w:t>
            </w:r>
            <w:r>
              <w:rPr>
                <w:rFonts w:hint="eastAsia" w:ascii="宋体" w:hAnsi="宋体" w:eastAsia="宋体" w:cs="Times New Roman"/>
                <w:color w:val="000000"/>
                <w:szCs w:val="21"/>
              </w:rPr>
              <w:t>商院内遴选</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p>
            <w:pPr>
              <w:spacing w:line="320" w:lineRule="exact"/>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一、产品要求</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（一）粮、大米：</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 xml:space="preserve">1、外表饱满细腻，颜色自然光亮，有自然的清香味，口感松软； </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2、无杂质，无黄粒米、病斑粒、无稻谷、无虫、无异味或霉味，无米糠米、未脱皮的完整糙米。</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3、包装完整，商标、厂名、厂址、质量等级、重量、QS证号、每袋米的封口处应有生产日期或合格标签等各类标识清楚。</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（二）食用油（调和油）：</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供应的油类产品必须达到国家规定的食用标准，符合行业标准，符合国家食品安全要求，具有正常植物油的色泽、透明度、气味和滋味，无焦臭、酸败及其他异味。</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（三）面粉：</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包括：一等面、二等面、高低筋面粉等，要求：符合行业标准，有QS认证标志，符合食品安全要求。</w:t>
            </w:r>
          </w:p>
          <w:p>
            <w:pPr>
              <w:numPr>
                <w:ilvl w:val="0"/>
                <w:numId w:val="1"/>
              </w:num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质量卫生相关要求</w:t>
            </w:r>
          </w:p>
          <w:p>
            <w:pPr>
              <w:spacing w:line="320" w:lineRule="exact"/>
              <w:jc w:val="left"/>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质量：符合小麦粉国家标准(2006-11-08)的规定</w:t>
            </w:r>
            <w:r>
              <w:rPr>
                <w:rFonts w:hint="eastAsia" w:ascii="宋体" w:hAnsi="宋体" w:eastAsia="宋体" w:cs="Times New Roman"/>
                <w:color w:val="000000"/>
                <w:szCs w:val="21"/>
                <w:lang w:eastAsia="zh-CN"/>
              </w:rPr>
              <w:t>；</w:t>
            </w:r>
          </w:p>
          <w:p>
            <w:pPr>
              <w:spacing w:line="320" w:lineRule="exact"/>
              <w:jc w:val="left"/>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卫生：应符合GB2715粮食卫生标准</w:t>
            </w:r>
            <w:r>
              <w:rPr>
                <w:rFonts w:hint="eastAsia" w:ascii="宋体" w:hAnsi="宋体" w:eastAsia="宋体" w:cs="Times New Roman"/>
                <w:color w:val="000000"/>
                <w:szCs w:val="21"/>
                <w:lang w:eastAsia="zh-CN"/>
              </w:rPr>
              <w:t>；</w:t>
            </w:r>
          </w:p>
          <w:p>
            <w:pPr>
              <w:spacing w:line="320" w:lineRule="exact"/>
              <w:jc w:val="left"/>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包装：应符合LS/T 3702检验用谷物选筛和GB/T 17109粮食销售包装的规定要求</w:t>
            </w:r>
            <w:r>
              <w:rPr>
                <w:rFonts w:hint="eastAsia" w:ascii="宋体" w:hAnsi="宋体" w:eastAsia="宋体" w:cs="Times New Roman"/>
                <w:color w:val="000000"/>
                <w:szCs w:val="21"/>
                <w:lang w:eastAsia="zh-CN"/>
              </w:rPr>
              <w:t>；</w:t>
            </w:r>
          </w:p>
          <w:p>
            <w:pPr>
              <w:spacing w:line="320" w:lineRule="exact"/>
              <w:jc w:val="left"/>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调料应符合GB/T 20903-2007 调味品分类和GB/T 12729.1-2008 香辛料和调味品名称规定</w:t>
            </w:r>
            <w:r>
              <w:rPr>
                <w:rFonts w:hint="eastAsia" w:ascii="宋体" w:hAnsi="宋体" w:eastAsia="宋体" w:cs="Times New Roman"/>
                <w:color w:val="000000"/>
                <w:szCs w:val="21"/>
                <w:lang w:eastAsia="zh-CN"/>
              </w:rPr>
              <w:t>；</w:t>
            </w:r>
          </w:p>
          <w:p>
            <w:pPr>
              <w:spacing w:line="320" w:lineRule="exact"/>
              <w:jc w:val="left"/>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经过质量监督管理部门检验并取得合格证明的产品</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保质期在6个月以内的，送货日至保质期到期日的天数必须大于保质期天数的三分之二；保质期在6个月以上的，送货日至保质期到期日的天数必须大于保质期天数的二分之一</w:t>
            </w:r>
            <w:r>
              <w:rPr>
                <w:rFonts w:hint="eastAsia" w:ascii="宋体" w:hAnsi="宋体" w:eastAsia="宋体" w:cs="Times New Roman"/>
                <w:color w:val="000000"/>
                <w:szCs w:val="21"/>
                <w:lang w:eastAsia="zh-CN"/>
              </w:rPr>
              <w:t>；</w:t>
            </w:r>
          </w:p>
          <w:p>
            <w:pPr>
              <w:spacing w:line="320" w:lineRule="exact"/>
              <w:jc w:val="left"/>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包装规格、种类齐全，适合职工和住院患者日常需求</w:t>
            </w:r>
            <w:r>
              <w:rPr>
                <w:rFonts w:hint="eastAsia" w:ascii="宋体" w:hAnsi="宋体" w:eastAsia="宋体" w:cs="Times New Roman"/>
                <w:color w:val="000000"/>
                <w:szCs w:val="21"/>
                <w:lang w:eastAsia="zh-CN"/>
              </w:rPr>
              <w:t>；</w:t>
            </w:r>
          </w:p>
          <w:p>
            <w:pPr>
              <w:spacing w:line="320" w:lineRule="exact"/>
              <w:jc w:val="lef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要求：安全、无毒、无害、无变质、无异味、无过期、手续完备（须向采购方提供第三方质检合格报告）的产品。</w:t>
            </w:r>
          </w:p>
          <w:p>
            <w:pPr>
              <w:spacing w:line="320" w:lineRule="exact"/>
              <w:jc w:val="left"/>
              <w:rPr>
                <w:rFonts w:hint="default" w:ascii="宋体" w:hAnsi="宋体" w:eastAsia="宋体" w:cs="Times New Roman"/>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Times New Roman"/>
                <w:color w:val="000000"/>
                <w:szCs w:val="21"/>
                <w:lang w:val="en-US" w:eastAsia="zh-CN"/>
              </w:rPr>
              <w:t>投标人以南宁市淡村农贸市场的</w:t>
            </w:r>
            <w:r>
              <w:rPr>
                <w:rFonts w:hint="eastAsia" w:ascii="宋体" w:hAnsi="宋体" w:eastAsia="宋体" w:cs="Times New Roman"/>
                <w:color w:val="000000"/>
                <w:szCs w:val="21"/>
              </w:rPr>
              <w:t>米、面、粮、油类</w:t>
            </w:r>
            <w:r>
              <w:rPr>
                <w:rFonts w:hint="eastAsia" w:ascii="宋体" w:hAnsi="宋体" w:eastAsia="宋体" w:cs="Times New Roman"/>
                <w:color w:val="000000"/>
                <w:szCs w:val="21"/>
                <w:lang w:val="en-US" w:eastAsia="zh-CN"/>
              </w:rPr>
              <w:t>食材价格为基准价，基准价下浮的百分比参与磋商评分。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宋体"/>
                <w:bCs/>
                <w:szCs w:val="21"/>
              </w:rPr>
            </w:pPr>
            <w:r>
              <w:rPr>
                <w:rFonts w:hint="eastAsia" w:ascii="宋体" w:hAnsi="宋体" w:eastAsia="宋体" w:cs="Times New Roman"/>
                <w:color w:val="000000"/>
                <w:szCs w:val="21"/>
              </w:rPr>
              <w:t>经过质量监督管理部门检验并取得合格证明的产品</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保质期在6个月以内的，送货日至保质期到期日的天数必须大于保质期天数的三分之二；保质期在6个月以上的，送货日至保质期到期日的天数必须大于保质期天数的二分之一</w:t>
            </w:r>
            <w:r>
              <w:rPr>
                <w:rFonts w:hint="eastAsia" w:ascii="宋体" w:hAnsi="宋体" w:eastAsia="宋体" w:cs="Times New Roman"/>
                <w:color w:val="00000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rPr>
              <w:t>质量要求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质量：符合小麦粉国家标准(2006-11-08)的规定</w:t>
            </w:r>
            <w:r>
              <w:rPr>
                <w:rFonts w:hint="eastAsia" w:ascii="宋体" w:hAnsi="宋体" w:eastAsia="宋体" w:cs="Times New Roman"/>
                <w:color w:val="000000"/>
                <w:szCs w:val="21"/>
                <w:lang w:eastAsia="zh-CN"/>
              </w:rPr>
              <w:t>；</w:t>
            </w:r>
          </w:p>
          <w:p>
            <w:pPr>
              <w:spacing w:line="320" w:lineRule="exact"/>
              <w:jc w:val="left"/>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卫生：应符合GB2715粮食卫生标准</w:t>
            </w:r>
            <w:r>
              <w:rPr>
                <w:rFonts w:hint="eastAsia" w:ascii="宋体" w:hAnsi="宋体" w:eastAsia="宋体" w:cs="Times New Roman"/>
                <w:color w:val="000000"/>
                <w:szCs w:val="21"/>
                <w:lang w:eastAsia="zh-CN"/>
              </w:rPr>
              <w:t>；</w:t>
            </w:r>
          </w:p>
          <w:p>
            <w:pPr>
              <w:spacing w:line="320" w:lineRule="exact"/>
              <w:jc w:val="left"/>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包装：应符合LS/T 3702检验用谷物选筛和GB/T 17109粮食销售包装的规定要求</w:t>
            </w:r>
            <w:r>
              <w:rPr>
                <w:rFonts w:hint="eastAsia" w:ascii="宋体" w:hAnsi="宋体" w:eastAsia="宋体" w:cs="Times New Roman"/>
                <w:color w:val="000000"/>
                <w:szCs w:val="21"/>
                <w:lang w:eastAsia="zh-CN"/>
              </w:rPr>
              <w:t>；</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调料应符合GB/T 20903-2007 调味品分类和GB/T 12729.1-2008 香辛料和调味品名称规定</w:t>
            </w:r>
            <w:r>
              <w:rPr>
                <w:rFonts w:hint="eastAsia" w:ascii="宋体" w:hAnsi="宋体" w:eastAsia="宋体" w:cs="Times New Roman"/>
                <w:color w:val="00000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责任义务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1、入选单位应严格遵守《食品卫生法》和《动物检疫法》等相关规定，一经发现供应以下食品，除全部退货外，将取消供货单位的供货资格，供货单位承担由此造成的经济责任和法律责任；</w:t>
            </w:r>
          </w:p>
          <w:p>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2、腐败变质、油脂酸败、霉变、生虫、污秽不洁、混有异物或者其他感官性状异常，对人体健康有害的；</w:t>
            </w:r>
          </w:p>
          <w:p>
            <w:p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 xml:space="preserve">3、含有毒、有害物质或者被有害物质污染，对人体健康有害的；    </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bCs/>
                <w:szCs w:val="21"/>
                <w:lang w:val="en-US" w:eastAsia="zh-CN"/>
              </w:rPr>
              <w:t>4.</w:t>
            </w:r>
            <w:r>
              <w:rPr>
                <w:rFonts w:hint="eastAsia" w:ascii="宋体" w:hAnsi="宋体" w:eastAsia="宋体" w:cs="Times New Roman"/>
                <w:bCs/>
                <w:szCs w:val="21"/>
              </w:rPr>
              <w:t>含有致病性寄生虫、微生物或者微生物含量超过国家限定标准的</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售后服务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2"/>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供货方无论质量缺陷属采购方还是供应责任，在接到采购方通知后均应在12小时内响应并替换完毕；若供货方委派他方替换处理，其所发生的一切费用及其他不利后果均供货方承担。</w:t>
            </w:r>
          </w:p>
          <w:p>
            <w:pPr>
              <w:numPr>
                <w:ilvl w:val="0"/>
                <w:numId w:val="2"/>
              </w:num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投标人需提供售后方案及应急预案。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付款方式：按</w:t>
            </w:r>
            <w:r>
              <w:rPr>
                <w:rFonts w:hint="eastAsia" w:ascii="宋体" w:hAnsi="宋体" w:eastAsia="宋体" w:cs="Times New Roman"/>
                <w:bCs/>
                <w:szCs w:val="21"/>
                <w:lang w:val="en-US" w:eastAsia="zh-CN"/>
              </w:rPr>
              <w:t>月</w:t>
            </w:r>
            <w:r>
              <w:rPr>
                <w:rFonts w:hint="eastAsia" w:ascii="宋体" w:hAnsi="宋体" w:eastAsia="宋体" w:cs="Times New Roman"/>
                <w:bCs/>
                <w:szCs w:val="21"/>
              </w:rPr>
              <w:t>结算费用，</w:t>
            </w:r>
            <w:r>
              <w:rPr>
                <w:rFonts w:hint="eastAsia" w:ascii="宋体" w:hAnsi="宋体" w:eastAsia="宋体" w:cs="Times New Roman"/>
                <w:bCs/>
                <w:szCs w:val="21"/>
                <w:lang w:val="en-US" w:eastAsia="zh-CN"/>
              </w:rPr>
              <w:t>每月物资的数量和质量经核实无异议</w:t>
            </w:r>
            <w:r>
              <w:rPr>
                <w:rFonts w:hint="eastAsia" w:ascii="宋体" w:hAnsi="宋体" w:eastAsia="宋体" w:cs="Times New Roman"/>
                <w:bCs/>
                <w:szCs w:val="21"/>
              </w:rPr>
              <w:t>后，</w:t>
            </w:r>
            <w:r>
              <w:rPr>
                <w:rFonts w:hint="eastAsia" w:ascii="宋体" w:hAnsi="宋体" w:eastAsia="宋体" w:cs="Times New Roman"/>
                <w:bCs/>
                <w:szCs w:val="21"/>
                <w:lang w:val="en-US" w:eastAsia="zh-CN"/>
              </w:rPr>
              <w:t>供应商</w:t>
            </w:r>
            <w:r>
              <w:rPr>
                <w:rFonts w:hint="eastAsia" w:ascii="宋体" w:hAnsi="宋体" w:eastAsia="宋体" w:cs="Times New Roman"/>
                <w:bCs/>
                <w:szCs w:val="21"/>
              </w:rPr>
              <w:t>应在30日内开具</w:t>
            </w:r>
            <w:r>
              <w:rPr>
                <w:rFonts w:hint="eastAsia" w:ascii="宋体" w:hAnsi="宋体" w:eastAsia="宋体" w:cs="Times New Roman"/>
                <w:bCs/>
                <w:szCs w:val="21"/>
                <w:lang w:val="en-US" w:eastAsia="zh-CN"/>
              </w:rPr>
              <w:t>上月清单的</w:t>
            </w:r>
            <w:r>
              <w:rPr>
                <w:rFonts w:hint="eastAsia" w:ascii="宋体" w:hAnsi="宋体" w:eastAsia="宋体" w:cs="Times New Roman"/>
                <w:bCs/>
                <w:szCs w:val="21"/>
              </w:rPr>
              <w:t>发票给采购人</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采购人核实无误后</w:t>
            </w:r>
            <w:r>
              <w:rPr>
                <w:rFonts w:hint="eastAsia" w:ascii="宋体" w:hAnsi="宋体" w:eastAsia="宋体" w:cs="Times New Roman"/>
                <w:bCs/>
                <w:szCs w:val="21"/>
                <w:lang w:eastAsia="zh-CN"/>
              </w:rPr>
              <w:t>，</w:t>
            </w:r>
            <w:r>
              <w:rPr>
                <w:rFonts w:hint="eastAsia" w:ascii="宋体" w:hAnsi="宋体" w:eastAsia="宋体" w:cs="Times New Roman"/>
                <w:bCs/>
                <w:szCs w:val="21"/>
              </w:rPr>
              <w:t>采购人在7个工作日内</w:t>
            </w:r>
            <w:r>
              <w:rPr>
                <w:rFonts w:hint="eastAsia" w:ascii="宋体" w:hAnsi="宋体" w:eastAsia="宋体" w:cs="Times New Roman"/>
                <w:bCs/>
                <w:szCs w:val="21"/>
                <w:lang w:val="en-US" w:eastAsia="zh-CN"/>
              </w:rPr>
              <w:t>支付发票金额的100%</w:t>
            </w:r>
            <w:r>
              <w:rPr>
                <w:rFonts w:hint="eastAsia" w:ascii="宋体" w:hAnsi="宋体" w:eastAsia="宋体" w:cs="Times New Roman"/>
                <w:bCs/>
                <w:szCs w:val="21"/>
              </w:rPr>
              <w:t>。</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w:t>
      </w:r>
      <w:r>
        <w:rPr>
          <w:rFonts w:hint="eastAsia" w:ascii="宋体" w:hAnsi="宋体" w:eastAsia="宋体" w:cs="Times New Roman"/>
          <w:color w:val="000000"/>
          <w:szCs w:val="21"/>
          <w:lang w:val="en-US" w:eastAsia="zh-CN"/>
        </w:rPr>
        <w:t>售后</w:t>
      </w:r>
      <w:r>
        <w:rPr>
          <w:rFonts w:hint="eastAsia" w:ascii="宋体" w:hAnsi="宋体" w:eastAsia="宋体" w:cs="Times New Roman"/>
          <w:color w:val="000000"/>
          <w:szCs w:val="21"/>
        </w:rPr>
        <w:t>服务</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综合实力</w:t>
      </w:r>
      <w:r>
        <w:rPr>
          <w:rFonts w:hint="eastAsia" w:ascii="宋体" w:hAnsi="宋体" w:eastAsia="宋体" w:cs="Times New Roman"/>
          <w:color w:val="000000"/>
          <w:szCs w:val="21"/>
        </w:rPr>
        <w:t>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7"/>
        <w:tblW w:w="9179" w:type="dxa"/>
        <w:tblInd w:w="93" w:type="dxa"/>
        <w:tblLayout w:type="fixed"/>
        <w:tblCellMar>
          <w:top w:w="0" w:type="dxa"/>
          <w:left w:w="108" w:type="dxa"/>
          <w:bottom w:w="0" w:type="dxa"/>
          <w:right w:w="108" w:type="dxa"/>
        </w:tblCellMar>
      </w:tblPr>
      <w:tblGrid>
        <w:gridCol w:w="1260"/>
        <w:gridCol w:w="1336"/>
        <w:gridCol w:w="6583"/>
      </w:tblGrid>
      <w:tr>
        <w:tblPrEx>
          <w:tblCellMar>
            <w:top w:w="0" w:type="dxa"/>
            <w:left w:w="108" w:type="dxa"/>
            <w:bottom w:w="0" w:type="dxa"/>
            <w:right w:w="108" w:type="dxa"/>
          </w:tblCellMar>
        </w:tblPrEx>
        <w:trPr>
          <w:trHeight w:val="599" w:hRule="atLeast"/>
        </w:trPr>
        <w:tc>
          <w:tcPr>
            <w:tcW w:w="1260"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1336" w:type="dxa"/>
            <w:tcBorders>
              <w:top w:val="single" w:color="auto" w:sz="4" w:space="0"/>
              <w:left w:val="single" w:color="auto" w:sz="4" w:space="0"/>
              <w:bottom w:val="single" w:color="auto" w:sz="4" w:space="0"/>
              <w:right w:val="single" w:color="auto" w:sz="4"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6583" w:type="dxa"/>
            <w:tcBorders>
              <w:top w:val="single" w:color="auto" w:sz="4" w:space="0"/>
              <w:left w:val="single" w:color="auto" w:sz="4" w:space="0"/>
              <w:bottom w:val="single" w:color="auto" w:sz="4" w:space="0"/>
              <w:right w:val="single" w:color="auto" w:sz="4"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975" w:hRule="atLeast"/>
        </w:trPr>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40</w:t>
            </w:r>
            <w:r>
              <w:rPr>
                <w:rFonts w:hint="eastAsia" w:ascii="宋体" w:hAnsi="宋体" w:eastAsia="宋体" w:cs="Calibri"/>
                <w:color w:val="000000"/>
                <w:szCs w:val="21"/>
              </w:rPr>
              <w:t xml:space="preserve"> 分）</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40</w:t>
            </w:r>
            <w:r>
              <w:rPr>
                <w:rFonts w:hint="eastAsia" w:ascii="宋体" w:hAnsi="宋体" w:eastAsia="宋体" w:cs="Calibri"/>
                <w:color w:val="000000"/>
                <w:szCs w:val="21"/>
              </w:rPr>
              <w:t xml:space="preserve"> 分）</w:t>
            </w:r>
          </w:p>
        </w:tc>
        <w:tc>
          <w:tcPr>
            <w:tcW w:w="658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ascii="宋体" w:hAnsi="宋体" w:eastAsia="宋体" w:cs="Calibri"/>
                <w:color w:val="000000"/>
                <w:szCs w:val="21"/>
              </w:rPr>
            </w:pPr>
            <w:r>
              <w:rPr>
                <w:rFonts w:hint="eastAsia" w:ascii="宋体" w:hAnsi="宋体" w:eastAsia="宋体" w:cs="Times New Roman"/>
                <w:color w:val="000000"/>
                <w:szCs w:val="21"/>
                <w:lang w:val="en-US" w:eastAsia="zh-CN"/>
              </w:rPr>
              <w:t>以南宁市淡村农贸市场的</w:t>
            </w:r>
            <w:r>
              <w:rPr>
                <w:rFonts w:hint="eastAsia" w:ascii="宋体" w:hAnsi="宋体" w:eastAsia="宋体" w:cs="Times New Roman"/>
                <w:color w:val="000000"/>
                <w:szCs w:val="21"/>
              </w:rPr>
              <w:t>米、面、粮、油类</w:t>
            </w:r>
            <w:r>
              <w:rPr>
                <w:rFonts w:hint="eastAsia" w:ascii="宋体" w:hAnsi="宋体" w:eastAsia="宋体" w:cs="Times New Roman"/>
                <w:color w:val="000000"/>
                <w:szCs w:val="21"/>
                <w:lang w:val="en-US" w:eastAsia="zh-CN"/>
              </w:rPr>
              <w:t>食材价格为基准价，基准价下浮12%得40分，每少下浮一个百分点减3分，基准价不下浮的不得分。</w:t>
            </w:r>
          </w:p>
        </w:tc>
      </w:tr>
      <w:tr>
        <w:tblPrEx>
          <w:tblCellMar>
            <w:top w:w="0" w:type="dxa"/>
            <w:left w:w="108" w:type="dxa"/>
            <w:bottom w:w="0" w:type="dxa"/>
            <w:right w:w="108" w:type="dxa"/>
          </w:tblCellMar>
        </w:tblPrEx>
        <w:trPr>
          <w:trHeight w:val="800" w:hRule="atLeast"/>
        </w:trPr>
        <w:tc>
          <w:tcPr>
            <w:tcW w:w="12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售后服务分（40分）</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配送服务方案分（20分）</w:t>
            </w:r>
          </w:p>
        </w:tc>
        <w:tc>
          <w:tcPr>
            <w:tcW w:w="6583" w:type="dxa"/>
            <w:tcBorders>
              <w:top w:val="single" w:color="auto" w:sz="4" w:space="0"/>
              <w:left w:val="single" w:color="auto" w:sz="4" w:space="0"/>
              <w:bottom w:val="single" w:color="auto" w:sz="4" w:space="0"/>
              <w:right w:val="single" w:color="auto" w:sz="4" w:space="0"/>
            </w:tcBorders>
            <w:shd w:val="clear" w:color="auto" w:fill="auto"/>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 0-7分）：方案可行性较差，无针对性，不能对大部分货品质量、可追溯性和采购渠道的正规、合法性进行承诺。</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 （</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-14分）：方案可行性一般，针对性不强，对部分货品质量、可追溯性和采购渠道的正规、合法性进行承诺。</w:t>
            </w:r>
          </w:p>
          <w:p>
            <w:pPr>
              <w:spacing w:line="40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三档（14.1-20分):方案可行性强，有较强的针对性、对需货人所在行业食堂熟悉性比分析，制定有精准详细的配送、售后方案、有对全部货品质量、可追溯性和采购渠道的正规、合法性进行承诺。</w:t>
            </w:r>
          </w:p>
        </w:tc>
      </w:tr>
      <w:tr>
        <w:tblPrEx>
          <w:tblCellMar>
            <w:top w:w="0" w:type="dxa"/>
            <w:left w:w="108" w:type="dxa"/>
            <w:bottom w:w="0" w:type="dxa"/>
            <w:right w:w="108" w:type="dxa"/>
          </w:tblCellMar>
        </w:tblPrEx>
        <w:trPr>
          <w:trHeight w:val="2955" w:hRule="atLeast"/>
        </w:trPr>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应急预案分（</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w:t>
            </w:r>
          </w:p>
        </w:tc>
        <w:tc>
          <w:tcPr>
            <w:tcW w:w="6583" w:type="dxa"/>
            <w:tcBorders>
              <w:top w:val="single" w:color="auto" w:sz="4" w:space="0"/>
              <w:left w:val="single" w:color="auto" w:sz="4" w:space="0"/>
              <w:bottom w:val="single" w:color="auto" w:sz="4" w:space="0"/>
              <w:right w:val="single" w:color="auto" w:sz="4" w:space="0"/>
            </w:tcBorders>
            <w:shd w:val="clear" w:color="auto" w:fill="auto"/>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一档（0-</w:t>
            </w:r>
            <w:r>
              <w:rPr>
                <w:rFonts w:hint="eastAsia" w:ascii="宋体" w:hAnsi="宋体" w:cs="Calibri"/>
                <w:color w:val="000000"/>
                <w:kern w:val="2"/>
                <w:sz w:val="21"/>
                <w:szCs w:val="21"/>
                <w:lang w:val="en-US" w:eastAsia="zh-CN" w:bidi="ar-SA"/>
              </w:rPr>
              <w:t>7</w:t>
            </w:r>
            <w:r>
              <w:rPr>
                <w:rFonts w:hint="eastAsia" w:ascii="宋体" w:hAnsi="宋体" w:eastAsia="宋体" w:cs="Calibri"/>
                <w:color w:val="000000"/>
                <w:kern w:val="2"/>
                <w:sz w:val="21"/>
                <w:szCs w:val="21"/>
                <w:lang w:val="en-US" w:eastAsia="zh-CN" w:bidi="ar-SA"/>
              </w:rPr>
              <w:t>分）：应急保障机制以及问题的处理方案描述简单，具体实施步骤和要求描述较简单；</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14</w:t>
            </w:r>
            <w:r>
              <w:rPr>
                <w:rFonts w:hint="eastAsia" w:ascii="宋体" w:hAnsi="宋体" w:eastAsia="宋体" w:cs="Calibri"/>
                <w:color w:val="000000"/>
                <w:kern w:val="2"/>
                <w:sz w:val="21"/>
                <w:szCs w:val="21"/>
                <w:lang w:val="en-US" w:eastAsia="zh-CN" w:bidi="ar-SA"/>
              </w:rPr>
              <w:t xml:space="preserve">分）：应急保障机制以及问题的处理方案满足要求、描述简单，具体实施步骤和要求描述较简单，优于一档的；     </w:t>
            </w:r>
          </w:p>
          <w:p>
            <w:pPr>
              <w:pStyle w:val="30"/>
              <w:tabs>
                <w:tab w:val="left" w:pos="567"/>
                <w:tab w:val="left" w:pos="851"/>
              </w:tabs>
              <w:spacing w:line="420" w:lineRule="exact"/>
              <w:jc w:val="left"/>
              <w:rPr>
                <w:rFonts w:hint="eastAsia" w:ascii="宋体" w:hAnsi="宋体" w:eastAsia="宋体" w:cs="Calibri"/>
                <w:color w:val="000000"/>
                <w:szCs w:val="21"/>
                <w:lang w:eastAsia="zh-CN"/>
              </w:rPr>
            </w:pPr>
            <w:r>
              <w:rPr>
                <w:rFonts w:hint="eastAsia" w:ascii="宋体" w:hAnsi="宋体" w:eastAsia="宋体" w:cs="Calibri"/>
                <w:color w:val="000000"/>
                <w:kern w:val="2"/>
                <w:sz w:val="21"/>
                <w:szCs w:val="21"/>
                <w:lang w:val="en-US" w:eastAsia="zh-CN" w:bidi="ar-SA"/>
              </w:rPr>
              <w:t>三档（</w:t>
            </w:r>
            <w:r>
              <w:rPr>
                <w:rFonts w:hint="eastAsia" w:ascii="宋体" w:hAnsi="宋体" w:cs="Calibri"/>
                <w:color w:val="000000"/>
                <w:kern w:val="2"/>
                <w:sz w:val="21"/>
                <w:szCs w:val="21"/>
                <w:lang w:val="en-US" w:eastAsia="zh-CN" w:bidi="ar-SA"/>
              </w:rPr>
              <w:t>14.1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0分）：应急保障机制以及问题货品的处理方案较先进符合要求、描述较详细，具体实施步骤和要求描述较详细，优于二档的，可行性强。</w:t>
            </w:r>
          </w:p>
        </w:tc>
      </w:tr>
      <w:tr>
        <w:tblPrEx>
          <w:tblCellMar>
            <w:top w:w="0" w:type="dxa"/>
            <w:left w:w="108" w:type="dxa"/>
            <w:bottom w:w="0" w:type="dxa"/>
            <w:right w:w="108" w:type="dxa"/>
          </w:tblCellMar>
        </w:tblPrEx>
        <w:trPr>
          <w:trHeight w:val="865" w:hRule="atLeast"/>
        </w:trPr>
        <w:tc>
          <w:tcPr>
            <w:tcW w:w="12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综合实力</w:t>
            </w:r>
            <w:r>
              <w:rPr>
                <w:rFonts w:hint="eastAsia" w:ascii="宋体" w:hAnsi="宋体" w:eastAsia="宋体" w:cs="Calibri"/>
                <w:color w:val="000000"/>
                <w:szCs w:val="21"/>
              </w:rPr>
              <w:t xml:space="preserve">分 </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20分</w:t>
            </w:r>
            <w:r>
              <w:rPr>
                <w:rFonts w:hint="eastAsia" w:ascii="宋体" w:hAnsi="宋体" w:eastAsia="宋体" w:cs="Calibri"/>
                <w:color w:val="000000"/>
                <w:szCs w:val="21"/>
                <w:lang w:eastAsia="zh-CN"/>
              </w:rPr>
              <w:t>）</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管理制度分（4分）</w:t>
            </w:r>
          </w:p>
        </w:tc>
        <w:tc>
          <w:tcPr>
            <w:tcW w:w="6583" w:type="dxa"/>
            <w:tcBorders>
              <w:top w:val="single" w:color="auto" w:sz="4" w:space="0"/>
              <w:left w:val="single" w:color="auto" w:sz="4" w:space="0"/>
              <w:bottom w:val="single" w:color="auto" w:sz="4" w:space="0"/>
              <w:right w:val="single" w:color="auto" w:sz="4" w:space="0"/>
            </w:tcBorders>
            <w:shd w:val="clear" w:color="auto" w:fill="auto"/>
          </w:tcPr>
          <w:p>
            <w:pPr>
              <w:numPr>
                <w:ilvl w:val="0"/>
                <w:numId w:val="0"/>
              </w:numPr>
              <w:spacing w:line="420" w:lineRule="exact"/>
              <w:rPr>
                <w:rFonts w:hint="eastAsia" w:ascii="宋体" w:hAnsi="宋体" w:eastAsia="宋体" w:cs="Calibri"/>
                <w:color w:val="000000"/>
                <w:szCs w:val="21"/>
                <w:lang w:eastAsia="zh-CN"/>
              </w:rPr>
            </w:pPr>
            <w:r>
              <w:rPr>
                <w:rFonts w:hint="eastAsia" w:ascii="宋体" w:hAnsi="宋体" w:eastAsia="宋体" w:cs="Calibri"/>
                <w:color w:val="000000"/>
                <w:szCs w:val="21"/>
              </w:rPr>
              <w:t>新冠状肺炎疫情防控期间，有相应的防控管理制度和配送经验。有相应的防疫部署和管理制度、管控措施 得0-</w:t>
            </w:r>
            <w:r>
              <w:rPr>
                <w:rFonts w:hint="eastAsia" w:ascii="宋体" w:hAnsi="宋体" w:eastAsia="宋体" w:cs="Calibri"/>
                <w:color w:val="000000"/>
                <w:szCs w:val="21"/>
                <w:lang w:val="en-US" w:eastAsia="zh-CN"/>
              </w:rPr>
              <w:t>4</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11" w:hRule="atLeast"/>
        </w:trPr>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检测能力分（3分）</w:t>
            </w:r>
          </w:p>
        </w:tc>
        <w:tc>
          <w:tcPr>
            <w:tcW w:w="6583" w:type="dxa"/>
            <w:tcBorders>
              <w:top w:val="single" w:color="auto" w:sz="4" w:space="0"/>
              <w:left w:val="single" w:color="auto" w:sz="4" w:space="0"/>
              <w:bottom w:val="single" w:color="auto" w:sz="4" w:space="0"/>
              <w:right w:val="single" w:color="auto" w:sz="4" w:space="0"/>
            </w:tcBorders>
            <w:shd w:val="clear" w:color="auto" w:fill="auto"/>
          </w:tcPr>
          <w:p>
            <w:pPr>
              <w:numPr>
                <w:ilvl w:val="0"/>
                <w:numId w:val="0"/>
              </w:numPr>
              <w:spacing w:line="420" w:lineRule="exact"/>
              <w:rPr>
                <w:rFonts w:hint="eastAsia" w:ascii="宋体" w:hAnsi="宋体" w:eastAsia="宋体" w:cs="Calibri"/>
                <w:color w:val="000000"/>
                <w:szCs w:val="21"/>
              </w:rPr>
            </w:pPr>
            <w:r>
              <w:rPr>
                <w:rFonts w:hint="eastAsia" w:ascii="宋体" w:hAnsi="宋体" w:eastAsia="宋体" w:cs="Calibri"/>
                <w:color w:val="000000"/>
                <w:szCs w:val="21"/>
              </w:rPr>
              <w:t>公司有相应的农残检测室，具备检测能力，得</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45" w:hRule="atLeast"/>
        </w:trPr>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业绩分（5分）</w:t>
            </w:r>
          </w:p>
        </w:tc>
        <w:tc>
          <w:tcPr>
            <w:tcW w:w="6583" w:type="dxa"/>
            <w:tcBorders>
              <w:top w:val="single" w:color="auto" w:sz="4" w:space="0"/>
              <w:left w:val="single" w:color="auto" w:sz="4" w:space="0"/>
              <w:bottom w:val="single" w:color="auto" w:sz="4" w:space="0"/>
              <w:right w:val="single" w:color="auto" w:sz="4" w:space="0"/>
            </w:tcBorders>
            <w:shd w:val="clear" w:color="auto" w:fill="auto"/>
          </w:tcPr>
          <w:p>
            <w:pPr>
              <w:numPr>
                <w:ilvl w:val="0"/>
                <w:numId w:val="0"/>
              </w:numPr>
              <w:spacing w:line="420" w:lineRule="exact"/>
              <w:rPr>
                <w:rFonts w:hint="eastAsia" w:ascii="宋体" w:hAnsi="宋体" w:eastAsia="宋体" w:cs="Calibri"/>
                <w:color w:val="000000"/>
                <w:szCs w:val="21"/>
              </w:rPr>
            </w:pPr>
            <w:r>
              <w:rPr>
                <w:rFonts w:hint="eastAsia" w:ascii="宋体" w:hAnsi="宋体" w:eastAsia="宋体" w:cs="Calibri"/>
                <w:color w:val="000000"/>
                <w:szCs w:val="21"/>
              </w:rPr>
              <w:t>201</w:t>
            </w:r>
            <w:r>
              <w:rPr>
                <w:rFonts w:hint="eastAsia" w:ascii="宋体" w:hAnsi="宋体" w:eastAsia="宋体" w:cs="Calibri"/>
                <w:color w:val="000000"/>
                <w:szCs w:val="21"/>
                <w:lang w:val="en-US" w:eastAsia="zh-CN"/>
              </w:rPr>
              <w:t>9</w:t>
            </w:r>
            <w:r>
              <w:rPr>
                <w:rFonts w:hint="eastAsia" w:ascii="宋体" w:hAnsi="宋体" w:eastAsia="宋体" w:cs="Calibri"/>
                <w:color w:val="000000"/>
                <w:szCs w:val="21"/>
              </w:rPr>
              <w:t>年1月</w:t>
            </w:r>
            <w:r>
              <w:rPr>
                <w:rFonts w:hint="eastAsia" w:ascii="宋体" w:hAnsi="宋体" w:eastAsia="宋体" w:cs="Calibri"/>
                <w:color w:val="000000"/>
                <w:szCs w:val="21"/>
                <w:lang w:val="en-US" w:eastAsia="zh-CN"/>
              </w:rPr>
              <w:t>至今</w:t>
            </w:r>
            <w:r>
              <w:rPr>
                <w:rFonts w:hint="eastAsia" w:ascii="宋体" w:hAnsi="宋体" w:eastAsia="宋体" w:cs="Calibri"/>
                <w:color w:val="000000"/>
                <w:szCs w:val="21"/>
              </w:rPr>
              <w:t>，在广西区内供货业绩，投标人提供业绩合同证明的每项得</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分，未提供的不得分，满分</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64" w:hRule="atLeast"/>
        </w:trPr>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eastAsia="宋体" w:cs="Calibri"/>
                <w:color w:val="000000"/>
                <w:szCs w:val="21"/>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人员得分（5分）</w:t>
            </w:r>
          </w:p>
        </w:tc>
        <w:tc>
          <w:tcPr>
            <w:tcW w:w="6583"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rPr>
                <w:rFonts w:ascii="宋体" w:hAnsi="宋体" w:eastAsia="宋体" w:cs="Calibri"/>
                <w:color w:val="000000"/>
                <w:szCs w:val="21"/>
              </w:rPr>
            </w:pPr>
            <w:r>
              <w:rPr>
                <w:rFonts w:hint="eastAsia" w:ascii="宋体" w:hAnsi="宋体" w:eastAsia="宋体" w:cs="Calibri"/>
                <w:color w:val="000000"/>
                <w:szCs w:val="21"/>
                <w:lang w:val="en-US" w:eastAsia="zh-CN"/>
              </w:rPr>
              <w:t>投标人拟派本项目从业人员数得分。1人得1分，2人得2分，3人得3分，4人得4分，5人得5分</w:t>
            </w:r>
            <w:r>
              <w:rPr>
                <w:rFonts w:hint="eastAsia" w:ascii="宋体" w:hAnsi="宋体" w:eastAsia="宋体" w:cs="Calibri"/>
                <w:color w:val="000000"/>
                <w:szCs w:val="21"/>
              </w:rPr>
              <w:t>（提供有效健康证复印件）。</w:t>
            </w:r>
          </w:p>
        </w:tc>
      </w:tr>
      <w:tr>
        <w:tblPrEx>
          <w:tblCellMar>
            <w:top w:w="0" w:type="dxa"/>
            <w:left w:w="108" w:type="dxa"/>
            <w:bottom w:w="0" w:type="dxa"/>
            <w:right w:w="108" w:type="dxa"/>
          </w:tblCellMar>
        </w:tblPrEx>
        <w:trPr>
          <w:trHeight w:val="1575" w:hRule="atLeast"/>
        </w:trPr>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rPr>
                <w:rFonts w:hint="eastAsia" w:ascii="宋体" w:hAnsi="宋体" w:eastAsia="宋体" w:cs="Calibri"/>
                <w:color w:val="000000"/>
                <w:szCs w:val="21"/>
              </w:rPr>
            </w:pPr>
            <w:r>
              <w:rPr>
                <w:rFonts w:hint="eastAsia" w:ascii="宋体" w:hAnsi="宋体" w:eastAsia="宋体" w:cs="Calibri"/>
                <w:color w:val="000000"/>
                <w:szCs w:val="21"/>
                <w:lang w:val="en-US" w:eastAsia="zh-CN"/>
              </w:rPr>
              <w:t>运输能力分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 xml:space="preserve"> 分）</w:t>
            </w:r>
          </w:p>
        </w:tc>
        <w:tc>
          <w:tcPr>
            <w:tcW w:w="6583" w:type="dxa"/>
            <w:tcBorders>
              <w:top w:val="single" w:color="auto" w:sz="4" w:space="0"/>
              <w:left w:val="single" w:color="auto" w:sz="4" w:space="0"/>
              <w:bottom w:val="single" w:color="auto" w:sz="4" w:space="0"/>
              <w:right w:val="single" w:color="auto" w:sz="4" w:space="0"/>
            </w:tcBorders>
            <w:shd w:val="clear" w:color="auto" w:fill="auto"/>
          </w:tcPr>
          <w:p>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投标人投入本项目专用运输车1辆，得</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分；专用运输车2辆，得</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分，专用运输车3辆，得</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分。</w:t>
            </w:r>
          </w:p>
          <w:p>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注:提供车辆必须是公司名下或公司股东名下，须提供车辆行驶证、车辆登记证证明复印件，以上资料均为复印件并加盖单位公章。</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lang w:val="en-US" w:eastAsia="zh-CN"/>
        </w:rPr>
        <w:t>售后服务</w:t>
      </w:r>
      <w:r>
        <w:rPr>
          <w:rFonts w:ascii="宋体" w:hAnsi="宋体" w:eastAsia="宋体"/>
          <w:szCs w:val="21"/>
        </w:rPr>
        <w:t>优劣顺序推荐（按</w:t>
      </w:r>
      <w:r>
        <w:rPr>
          <w:rFonts w:hint="eastAsia" w:ascii="宋体" w:hAnsi="宋体" w:eastAsia="宋体"/>
          <w:szCs w:val="21"/>
          <w:lang w:val="en-US" w:eastAsia="zh-CN"/>
        </w:rPr>
        <w:t>售后服务</w:t>
      </w:r>
      <w:r>
        <w:rPr>
          <w:rFonts w:ascii="宋体" w:hAnsi="宋体" w:eastAsia="宋体"/>
          <w:szCs w:val="21"/>
        </w:rPr>
        <w:t>得分由高到低排序，</w:t>
      </w:r>
      <w:r>
        <w:rPr>
          <w:rFonts w:hint="eastAsia" w:ascii="宋体" w:hAnsi="宋体" w:eastAsia="宋体"/>
          <w:szCs w:val="21"/>
          <w:lang w:val="en-US" w:eastAsia="zh-CN"/>
        </w:rPr>
        <w:t>售后服务</w:t>
      </w:r>
      <w:r>
        <w:rPr>
          <w:rFonts w:ascii="宋体" w:hAnsi="宋体" w:eastAsia="宋体"/>
          <w:szCs w:val="21"/>
        </w:rPr>
        <w:t>得分相同的按照技术需求偏离分由高到低排序）。评审得分、最后报价（不计算价格折扣）、</w:t>
      </w:r>
      <w:r>
        <w:rPr>
          <w:rFonts w:hint="eastAsia" w:ascii="宋体" w:hAnsi="宋体" w:eastAsia="宋体"/>
          <w:szCs w:val="21"/>
          <w:lang w:val="en-US" w:eastAsia="zh-CN"/>
        </w:rPr>
        <w:t>售后服务</w:t>
      </w:r>
      <w:r>
        <w:rPr>
          <w:rFonts w:ascii="宋体" w:hAnsi="宋体" w:eastAsia="宋体"/>
          <w:szCs w:val="21"/>
        </w:rPr>
        <w:t>分均相同的，由评审小组随机抽取推荐。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hint="eastAsia"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rPr>
          <w:rFonts w:ascii="仿宋_GB2312" w:hAnsi="Calibri" w:eastAsia="仿宋_GB2312" w:cs="Calibri"/>
          <w:bCs/>
          <w:color w:val="000000"/>
          <w:sz w:val="32"/>
          <w:szCs w:val="32"/>
        </w:rPr>
      </w:pPr>
    </w:p>
    <w:p>
      <w:pPr>
        <w:snapToGrid w:val="0"/>
        <w:spacing w:before="120"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20"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napToGrid w:val="0"/>
        <w:spacing w:before="120"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20"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20"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pStyle w:val="25"/>
        <w:spacing w:after="180" w:line="240" w:lineRule="auto"/>
        <w:ind w:firstLine="0"/>
        <w:jc w:val="left"/>
        <w:rPr>
          <w:color w:val="000000"/>
        </w:rPr>
      </w:pPr>
      <w:r>
        <w:rPr>
          <w:rFonts w:hint="eastAsia" w:cs="Calibri"/>
          <w:b/>
          <w:bCs/>
          <w:color w:val="000000"/>
          <w:sz w:val="32"/>
          <w:szCs w:val="32"/>
          <w:lang w:val="en-US" w:eastAsia="zh-CN" w:bidi="ar-SA"/>
        </w:rPr>
        <w:t>3.报价分析表</w:t>
      </w:r>
      <w:r>
        <w:rPr>
          <w:color w:val="000000"/>
        </w:rPr>
        <w:t>（此表如不适用可自行设计）</w:t>
      </w:r>
    </w:p>
    <w:p>
      <w:pPr>
        <w:pStyle w:val="25"/>
        <w:spacing w:after="180" w:line="240" w:lineRule="auto"/>
        <w:ind w:firstLine="0"/>
        <w:jc w:val="center"/>
        <w:rPr>
          <w:color w:val="000000"/>
          <w:lang w:val="en-US" w:eastAsia="zh-CN"/>
        </w:rPr>
      </w:pPr>
      <w:r>
        <w:rPr>
          <w:rFonts w:hint="eastAsia" w:cs="Calibri"/>
          <w:b/>
          <w:bCs/>
          <w:color w:val="000000"/>
          <w:sz w:val="32"/>
          <w:szCs w:val="32"/>
          <w:lang w:val="en-US" w:eastAsia="zh-CN" w:bidi="ar-SA"/>
        </w:rPr>
        <w:t>报价分析表</w:t>
      </w:r>
    </w:p>
    <w:p>
      <w:pPr>
        <w:pStyle w:val="26"/>
        <w:jc w:val="left"/>
      </w:pPr>
      <w:r>
        <w:rPr>
          <w:color w:val="000000"/>
        </w:rPr>
        <w:t>项目名称:</w:t>
      </w:r>
    </w:p>
    <w:tbl>
      <w:tblPr>
        <w:tblStyle w:val="7"/>
        <w:tblW w:w="9345" w:type="dxa"/>
        <w:jc w:val="center"/>
        <w:tblLayout w:type="fixed"/>
        <w:tblCellMar>
          <w:top w:w="0" w:type="dxa"/>
          <w:left w:w="10" w:type="dxa"/>
          <w:bottom w:w="0" w:type="dxa"/>
          <w:right w:w="10" w:type="dxa"/>
        </w:tblCellMar>
      </w:tblPr>
      <w:tblGrid>
        <w:gridCol w:w="1035"/>
        <w:gridCol w:w="1635"/>
        <w:gridCol w:w="1575"/>
        <w:gridCol w:w="2550"/>
        <w:gridCol w:w="2550"/>
      </w:tblGrid>
      <w:tr>
        <w:tblPrEx>
          <w:tblCellMar>
            <w:top w:w="0" w:type="dxa"/>
            <w:left w:w="10" w:type="dxa"/>
            <w:bottom w:w="0" w:type="dxa"/>
            <w:right w:w="10" w:type="dxa"/>
          </w:tblCellMar>
        </w:tblPrEx>
        <w:trPr>
          <w:trHeight w:val="705" w:hRule="exact"/>
          <w:jc w:val="center"/>
        </w:trPr>
        <w:tc>
          <w:tcPr>
            <w:tcW w:w="1035" w:type="dxa"/>
            <w:tcBorders>
              <w:top w:val="single" w:color="auto" w:sz="4" w:space="0"/>
              <w:left w:val="single" w:color="auto" w:sz="4" w:space="0"/>
            </w:tcBorders>
            <w:shd w:val="clear" w:color="auto" w:fill="FFFFFF"/>
            <w:vAlign w:val="center"/>
          </w:tcPr>
          <w:p>
            <w:pPr>
              <w:pStyle w:val="27"/>
              <w:spacing w:after="0" w:line="240" w:lineRule="auto"/>
              <w:ind w:firstLine="0"/>
              <w:jc w:val="center"/>
            </w:pPr>
            <w:r>
              <w:rPr>
                <w:color w:val="000000"/>
              </w:rPr>
              <w:t>序号</w:t>
            </w:r>
          </w:p>
        </w:tc>
        <w:tc>
          <w:tcPr>
            <w:tcW w:w="1635" w:type="dxa"/>
            <w:tcBorders>
              <w:top w:val="single" w:color="auto" w:sz="4" w:space="0"/>
              <w:left w:val="single" w:color="auto" w:sz="4" w:space="0"/>
            </w:tcBorders>
            <w:shd w:val="clear" w:color="auto" w:fill="FFFFFF"/>
            <w:vAlign w:val="center"/>
          </w:tcPr>
          <w:p>
            <w:pPr>
              <w:pStyle w:val="27"/>
              <w:spacing w:after="0" w:line="240" w:lineRule="auto"/>
              <w:ind w:firstLine="0"/>
              <w:jc w:val="center"/>
            </w:pPr>
            <w:r>
              <w:rPr>
                <w:rFonts w:hint="eastAsia"/>
                <w:color w:val="000000"/>
                <w:lang w:val="en-US" w:eastAsia="zh-CN"/>
              </w:rPr>
              <w:t>产品</w:t>
            </w:r>
            <w:r>
              <w:rPr>
                <w:color w:val="000000"/>
              </w:rPr>
              <w:t>名称</w:t>
            </w:r>
          </w:p>
        </w:tc>
        <w:tc>
          <w:tcPr>
            <w:tcW w:w="1575" w:type="dxa"/>
            <w:tcBorders>
              <w:top w:val="single" w:color="auto" w:sz="4" w:space="0"/>
              <w:left w:val="single" w:color="auto" w:sz="4" w:space="0"/>
            </w:tcBorders>
            <w:shd w:val="clear" w:color="auto" w:fill="FFFFFF"/>
            <w:vAlign w:val="center"/>
          </w:tcPr>
          <w:p>
            <w:pPr>
              <w:pStyle w:val="27"/>
              <w:spacing w:after="0" w:line="240" w:lineRule="auto"/>
              <w:ind w:firstLine="0"/>
              <w:jc w:val="center"/>
              <w:rPr>
                <w:rFonts w:hint="default" w:eastAsia="宋体"/>
                <w:lang w:val="en-US" w:eastAsia="zh-CN"/>
              </w:rPr>
            </w:pPr>
            <w:r>
              <w:rPr>
                <w:color w:val="000000"/>
              </w:rPr>
              <w:t>规格</w:t>
            </w:r>
            <w:r>
              <w:rPr>
                <w:rFonts w:hint="eastAsia"/>
                <w:color w:val="000000"/>
                <w:lang w:val="en-US" w:eastAsia="zh-CN"/>
              </w:rPr>
              <w:t>/单位</w:t>
            </w:r>
          </w:p>
        </w:tc>
        <w:tc>
          <w:tcPr>
            <w:tcW w:w="2550" w:type="dxa"/>
            <w:tcBorders>
              <w:top w:val="single" w:color="auto" w:sz="4" w:space="0"/>
              <w:left w:val="single" w:color="auto" w:sz="4" w:space="0"/>
              <w:right w:val="single" w:color="auto" w:sz="4" w:space="0"/>
            </w:tcBorders>
            <w:shd w:val="clear" w:color="auto" w:fill="FFFFFF"/>
            <w:vAlign w:val="center"/>
          </w:tcPr>
          <w:p>
            <w:pPr>
              <w:pStyle w:val="27"/>
              <w:spacing w:after="0" w:line="240" w:lineRule="auto"/>
              <w:ind w:firstLine="680"/>
              <w:jc w:val="left"/>
              <w:rPr>
                <w:rFonts w:hint="default" w:eastAsia="宋体"/>
                <w:lang w:val="en-US" w:eastAsia="zh-CN"/>
              </w:rPr>
            </w:pPr>
            <w:r>
              <w:rPr>
                <w:rFonts w:hint="eastAsia"/>
                <w:lang w:val="en-US" w:eastAsia="zh-CN"/>
              </w:rPr>
              <w:t>上控价</w:t>
            </w:r>
          </w:p>
        </w:tc>
        <w:tc>
          <w:tcPr>
            <w:tcW w:w="2550" w:type="dxa"/>
            <w:tcBorders>
              <w:top w:val="single" w:color="auto" w:sz="4" w:space="0"/>
              <w:left w:val="single" w:color="auto" w:sz="4" w:space="0"/>
              <w:right w:val="single" w:color="auto" w:sz="4" w:space="0"/>
            </w:tcBorders>
            <w:shd w:val="clear" w:color="auto" w:fill="FFFFFF"/>
            <w:vAlign w:val="center"/>
          </w:tcPr>
          <w:p>
            <w:pPr>
              <w:pStyle w:val="27"/>
              <w:spacing w:after="0" w:line="240" w:lineRule="auto"/>
              <w:ind w:firstLine="680"/>
              <w:jc w:val="left"/>
              <w:rPr>
                <w:rFonts w:hint="eastAsia" w:eastAsia="宋体"/>
                <w:color w:val="000000"/>
                <w:lang w:eastAsia="zh-CN"/>
              </w:rPr>
            </w:pPr>
            <w:r>
              <w:rPr>
                <w:color w:val="000000"/>
              </w:rPr>
              <w:t>报价（元</w:t>
            </w:r>
            <w:r>
              <w:rPr>
                <w:rFonts w:hint="eastAsia"/>
                <w:color w:val="000000"/>
                <w:lang w:eastAsia="zh-CN"/>
              </w:rPr>
              <w:t>）</w:t>
            </w:r>
          </w:p>
        </w:tc>
      </w:tr>
      <w:tr>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tcPr>
          <w:p>
            <w:pPr>
              <w:rPr>
                <w:sz w:val="10"/>
                <w:szCs w:val="10"/>
              </w:rPr>
            </w:pPr>
          </w:p>
        </w:tc>
        <w:tc>
          <w:tcPr>
            <w:tcW w:w="1635" w:type="dxa"/>
            <w:tcBorders>
              <w:top w:val="single" w:color="auto" w:sz="4" w:space="0"/>
              <w:left w:val="single" w:color="auto" w:sz="4" w:space="0"/>
            </w:tcBorders>
            <w:shd w:val="clear" w:color="auto" w:fill="FFFFFF"/>
          </w:tcPr>
          <w:p>
            <w:pPr>
              <w:rPr>
                <w:sz w:val="10"/>
                <w:szCs w:val="10"/>
              </w:rPr>
            </w:pPr>
          </w:p>
        </w:tc>
        <w:tc>
          <w:tcPr>
            <w:tcW w:w="1575" w:type="dxa"/>
            <w:tcBorders>
              <w:top w:val="single" w:color="auto" w:sz="4" w:space="0"/>
              <w:lef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90" w:hRule="exact"/>
          <w:jc w:val="center"/>
        </w:trPr>
        <w:tc>
          <w:tcPr>
            <w:tcW w:w="1035" w:type="dxa"/>
            <w:tcBorders>
              <w:top w:val="single" w:color="auto" w:sz="4" w:space="0"/>
              <w:left w:val="single" w:color="auto" w:sz="4" w:space="0"/>
            </w:tcBorders>
            <w:shd w:val="clear" w:color="auto" w:fill="FFFFFF"/>
          </w:tcPr>
          <w:p>
            <w:pPr>
              <w:rPr>
                <w:sz w:val="10"/>
                <w:szCs w:val="10"/>
              </w:rPr>
            </w:pPr>
          </w:p>
        </w:tc>
        <w:tc>
          <w:tcPr>
            <w:tcW w:w="1635" w:type="dxa"/>
            <w:tcBorders>
              <w:top w:val="single" w:color="auto" w:sz="4" w:space="0"/>
              <w:left w:val="single" w:color="auto" w:sz="4" w:space="0"/>
            </w:tcBorders>
            <w:shd w:val="clear" w:color="auto" w:fill="FFFFFF"/>
          </w:tcPr>
          <w:p>
            <w:pPr>
              <w:rPr>
                <w:sz w:val="10"/>
                <w:szCs w:val="10"/>
              </w:rPr>
            </w:pPr>
          </w:p>
        </w:tc>
        <w:tc>
          <w:tcPr>
            <w:tcW w:w="1575" w:type="dxa"/>
            <w:tcBorders>
              <w:top w:val="single" w:color="auto" w:sz="4" w:space="0"/>
              <w:lef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tcPr>
          <w:p>
            <w:pPr>
              <w:rPr>
                <w:sz w:val="10"/>
                <w:szCs w:val="10"/>
              </w:rPr>
            </w:pPr>
          </w:p>
        </w:tc>
        <w:tc>
          <w:tcPr>
            <w:tcW w:w="1635" w:type="dxa"/>
            <w:tcBorders>
              <w:top w:val="single" w:color="auto" w:sz="4" w:space="0"/>
              <w:left w:val="single" w:color="auto" w:sz="4" w:space="0"/>
            </w:tcBorders>
            <w:shd w:val="clear" w:color="auto" w:fill="FFFFFF"/>
          </w:tcPr>
          <w:p>
            <w:pPr>
              <w:rPr>
                <w:sz w:val="10"/>
                <w:szCs w:val="10"/>
              </w:rPr>
            </w:pPr>
          </w:p>
        </w:tc>
        <w:tc>
          <w:tcPr>
            <w:tcW w:w="1575" w:type="dxa"/>
            <w:tcBorders>
              <w:top w:val="single" w:color="auto" w:sz="4" w:space="0"/>
              <w:lef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tcPr>
          <w:p>
            <w:pPr>
              <w:rPr>
                <w:sz w:val="10"/>
                <w:szCs w:val="10"/>
              </w:rPr>
            </w:pPr>
          </w:p>
        </w:tc>
        <w:tc>
          <w:tcPr>
            <w:tcW w:w="1635" w:type="dxa"/>
            <w:tcBorders>
              <w:top w:val="single" w:color="auto" w:sz="4" w:space="0"/>
              <w:left w:val="single" w:color="auto" w:sz="4" w:space="0"/>
            </w:tcBorders>
            <w:shd w:val="clear" w:color="auto" w:fill="FFFFFF"/>
          </w:tcPr>
          <w:p>
            <w:pPr>
              <w:rPr>
                <w:sz w:val="10"/>
                <w:szCs w:val="10"/>
              </w:rPr>
            </w:pPr>
          </w:p>
        </w:tc>
        <w:tc>
          <w:tcPr>
            <w:tcW w:w="1575" w:type="dxa"/>
            <w:tcBorders>
              <w:top w:val="single" w:color="auto" w:sz="4" w:space="0"/>
              <w:lef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tcPr>
          <w:p>
            <w:pPr>
              <w:rPr>
                <w:sz w:val="10"/>
                <w:szCs w:val="10"/>
              </w:rPr>
            </w:pPr>
          </w:p>
        </w:tc>
        <w:tc>
          <w:tcPr>
            <w:tcW w:w="1635" w:type="dxa"/>
            <w:tcBorders>
              <w:top w:val="single" w:color="auto" w:sz="4" w:space="0"/>
              <w:left w:val="single" w:color="auto" w:sz="4" w:space="0"/>
            </w:tcBorders>
            <w:shd w:val="clear" w:color="auto" w:fill="FFFFFF"/>
          </w:tcPr>
          <w:p>
            <w:pPr>
              <w:rPr>
                <w:sz w:val="10"/>
                <w:szCs w:val="10"/>
              </w:rPr>
            </w:pPr>
          </w:p>
        </w:tc>
        <w:tc>
          <w:tcPr>
            <w:tcW w:w="1575" w:type="dxa"/>
            <w:tcBorders>
              <w:top w:val="single" w:color="auto" w:sz="4" w:space="0"/>
              <w:lef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bottom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1635" w:type="dxa"/>
            <w:tcBorders>
              <w:top w:val="single" w:color="auto" w:sz="4" w:space="0"/>
              <w:left w:val="single" w:color="auto" w:sz="4" w:space="0"/>
              <w:bottom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1575" w:type="dxa"/>
            <w:tcBorders>
              <w:top w:val="single" w:color="auto" w:sz="4" w:space="0"/>
              <w:left w:val="single" w:color="auto" w:sz="4" w:space="0"/>
              <w:bottom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2550" w:type="dxa"/>
            <w:tcBorders>
              <w:top w:val="single" w:color="auto" w:sz="4" w:space="0"/>
              <w:left w:val="single" w:color="auto" w:sz="4" w:space="0"/>
              <w:bottom w:val="single" w:color="auto" w:sz="4" w:space="0"/>
              <w:right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255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279" w:hRule="exact"/>
          <w:jc w:val="center"/>
        </w:trPr>
        <w:tc>
          <w:tcPr>
            <w:tcW w:w="6795" w:type="dxa"/>
            <w:gridSpan w:val="4"/>
            <w:tcBorders>
              <w:top w:val="single" w:color="auto" w:sz="4" w:space="0"/>
              <w:left w:val="single" w:color="auto" w:sz="4" w:space="0"/>
              <w:bottom w:val="single" w:color="auto" w:sz="4" w:space="0"/>
              <w:right w:val="single" w:color="auto" w:sz="4" w:space="0"/>
            </w:tcBorders>
            <w:shd w:val="clear" w:color="auto" w:fill="FFFFFF"/>
          </w:tcPr>
          <w:p>
            <w:pPr>
              <w:jc w:val="right"/>
              <w:rPr>
                <w:rFonts w:hint="eastAsia" w:ascii="宋体" w:hAnsi="宋体" w:eastAsia="宋体" w:cs="宋体"/>
                <w:color w:val="000000"/>
                <w:kern w:val="2"/>
                <w:sz w:val="20"/>
                <w:szCs w:val="20"/>
                <w:lang w:val="en-US" w:eastAsia="zh-CN" w:bidi="zh-TW"/>
              </w:rPr>
            </w:pPr>
            <w:r>
              <w:rPr>
                <w:rFonts w:hint="eastAsia" w:ascii="宋体" w:hAnsi="宋体" w:eastAsia="宋体" w:cs="宋体"/>
                <w:color w:val="000000"/>
                <w:kern w:val="2"/>
                <w:sz w:val="20"/>
                <w:szCs w:val="20"/>
                <w:lang w:val="en-US" w:eastAsia="zh-CN" w:bidi="zh-TW"/>
              </w:rPr>
              <w:t>合计：</w:t>
            </w:r>
          </w:p>
        </w:tc>
        <w:tc>
          <w:tcPr>
            <w:tcW w:w="255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pStyle w:val="25"/>
        <w:spacing w:line="441" w:lineRule="exact"/>
        <w:ind w:firstLine="440"/>
        <w:jc w:val="left"/>
        <w:rPr>
          <w:color w:val="000000"/>
        </w:rPr>
      </w:pPr>
      <w:r>
        <w:rPr>
          <w:color w:val="000000"/>
        </w:rPr>
        <w:t>注：总价包含完成</w:t>
      </w:r>
      <w:r>
        <w:rPr>
          <w:rFonts w:hint="eastAsia"/>
          <w:color w:val="000000"/>
          <w:lang w:val="en-US" w:eastAsia="zh-CN"/>
        </w:rPr>
        <w:t>配送</w:t>
      </w:r>
      <w:r>
        <w:rPr>
          <w:color w:val="000000"/>
        </w:rPr>
        <w:t>并达到采购人要求后的全部费用</w:t>
      </w:r>
    </w:p>
    <w:p>
      <w:pPr>
        <w:pStyle w:val="25"/>
        <w:spacing w:line="441" w:lineRule="exact"/>
        <w:ind w:firstLine="440"/>
        <w:jc w:val="left"/>
        <w:rPr>
          <w:color w:val="000000"/>
        </w:rPr>
      </w:pPr>
    </w:p>
    <w:p>
      <w:pPr>
        <w:pStyle w:val="25"/>
        <w:spacing w:line="441" w:lineRule="exact"/>
        <w:ind w:firstLine="440"/>
        <w:jc w:val="left"/>
        <w:rPr>
          <w:color w:val="000000"/>
        </w:rPr>
      </w:pPr>
    </w:p>
    <w:p>
      <w:pPr>
        <w:pStyle w:val="25"/>
        <w:spacing w:line="441" w:lineRule="exact"/>
        <w:ind w:firstLine="440"/>
        <w:jc w:val="left"/>
        <w:rPr>
          <w:color w:val="000000"/>
        </w:rPr>
      </w:pPr>
    </w:p>
    <w:p>
      <w:pPr>
        <w:pStyle w:val="25"/>
        <w:spacing w:line="240" w:lineRule="auto"/>
        <w:ind w:firstLine="0"/>
        <w:jc w:val="left"/>
      </w:pPr>
      <w:r>
        <w:rPr>
          <w:color w:val="000000"/>
        </w:rPr>
        <w:t>供应商：（盖章）</w:t>
      </w:r>
    </w:p>
    <w:p>
      <w:pPr>
        <w:pStyle w:val="25"/>
        <w:spacing w:line="240" w:lineRule="auto"/>
        <w:ind w:firstLine="0"/>
        <w:jc w:val="left"/>
      </w:pPr>
      <w:r>
        <w:rPr>
          <w:color w:val="000000"/>
        </w:rPr>
        <w:t>法定代表人或授权委托人：（签字或盖章）</w:t>
      </w:r>
    </w:p>
    <w:p>
      <w:pPr>
        <w:pStyle w:val="25"/>
        <w:spacing w:line="240" w:lineRule="auto"/>
        <w:ind w:left="1100" w:firstLine="0"/>
        <w:jc w:val="right"/>
        <w:rPr>
          <w:rFonts w:hAnsi="Courier New" w:cs="Calibri"/>
          <w:b/>
          <w:color w:val="000000"/>
          <w:sz w:val="32"/>
          <w:szCs w:val="32"/>
        </w:rPr>
      </w:pPr>
      <w:r>
        <w:rPr>
          <w:color w:val="000000"/>
        </w:rPr>
        <w:t xml:space="preserve">年 </w:t>
      </w:r>
      <w:r>
        <w:rPr>
          <w:color w:val="000000"/>
          <w:lang w:val="zh-CN" w:eastAsia="zh-CN" w:bidi="zh-CN"/>
        </w:rPr>
        <w:t>月</w:t>
      </w:r>
      <w:r>
        <w:rPr>
          <w:rFonts w:hint="eastAsia"/>
          <w:color w:val="000000"/>
          <w:lang w:val="en-US" w:eastAsia="zh-CN" w:bidi="zh-CN"/>
        </w:rPr>
        <w:t xml:space="preserve"> 日</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napToGrid w:val="0"/>
        <w:spacing w:before="120"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20"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20"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20"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20"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20"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both"/>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0B26A"/>
    <w:multiLevelType w:val="singleLevel"/>
    <w:tmpl w:val="86F0B26A"/>
    <w:lvl w:ilvl="0" w:tentative="0">
      <w:start w:val="1"/>
      <w:numFmt w:val="decimal"/>
      <w:lvlText w:val="%1."/>
      <w:lvlJc w:val="left"/>
      <w:pPr>
        <w:tabs>
          <w:tab w:val="left" w:pos="312"/>
        </w:tabs>
      </w:pPr>
    </w:lvl>
  </w:abstractNum>
  <w:abstractNum w:abstractNumId="1">
    <w:nsid w:val="FB106BD8"/>
    <w:multiLevelType w:val="singleLevel"/>
    <w:tmpl w:val="FB106BD8"/>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904DC"/>
    <w:rsid w:val="00590FB2"/>
    <w:rsid w:val="00596758"/>
    <w:rsid w:val="005A3E00"/>
    <w:rsid w:val="005B5BDB"/>
    <w:rsid w:val="005E5076"/>
    <w:rsid w:val="006208AC"/>
    <w:rsid w:val="0064134D"/>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7853"/>
    <w:rsid w:val="00BE6561"/>
    <w:rsid w:val="00BF0177"/>
    <w:rsid w:val="00C02C01"/>
    <w:rsid w:val="00C21E58"/>
    <w:rsid w:val="00C30370"/>
    <w:rsid w:val="00C36592"/>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32A8"/>
    <w:rsid w:val="00EB6E6F"/>
    <w:rsid w:val="00EE1BC2"/>
    <w:rsid w:val="00F1447C"/>
    <w:rsid w:val="00F47CB8"/>
    <w:rsid w:val="00F55F69"/>
    <w:rsid w:val="00F60E99"/>
    <w:rsid w:val="00F67C17"/>
    <w:rsid w:val="00F806B4"/>
    <w:rsid w:val="00F8364B"/>
    <w:rsid w:val="00F94595"/>
    <w:rsid w:val="00FA0D28"/>
    <w:rsid w:val="00FB3B21"/>
    <w:rsid w:val="00FE3298"/>
    <w:rsid w:val="02625B16"/>
    <w:rsid w:val="071839AF"/>
    <w:rsid w:val="07864920"/>
    <w:rsid w:val="08797E46"/>
    <w:rsid w:val="0DDF2D96"/>
    <w:rsid w:val="14253EA8"/>
    <w:rsid w:val="15BB7E44"/>
    <w:rsid w:val="174D6409"/>
    <w:rsid w:val="17A03113"/>
    <w:rsid w:val="17BE07E0"/>
    <w:rsid w:val="17EC4843"/>
    <w:rsid w:val="21D42757"/>
    <w:rsid w:val="230C6132"/>
    <w:rsid w:val="23CB201A"/>
    <w:rsid w:val="24722845"/>
    <w:rsid w:val="267D2BB8"/>
    <w:rsid w:val="26F17D0D"/>
    <w:rsid w:val="303D69DF"/>
    <w:rsid w:val="456F454F"/>
    <w:rsid w:val="45DB2F02"/>
    <w:rsid w:val="498D214B"/>
    <w:rsid w:val="55690666"/>
    <w:rsid w:val="5C300A66"/>
    <w:rsid w:val="5CFC6D15"/>
    <w:rsid w:val="70E400C1"/>
    <w:rsid w:val="75F8076C"/>
    <w:rsid w:val="76042F76"/>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rPr>
  </w:style>
  <w:style w:type="paragraph" w:styleId="4">
    <w:name w:val="Date"/>
    <w:basedOn w:val="1"/>
    <w:next w:val="1"/>
    <w:link w:val="12"/>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4"/>
    <w:semiHidden/>
    <w:qFormat/>
    <w:uiPriority w:val="99"/>
  </w:style>
  <w:style w:type="character" w:customStyle="1" w:styleId="13">
    <w:name w:val="标题 2 字符"/>
    <w:basedOn w:val="9"/>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21"/>
    <w:basedOn w:val="9"/>
    <w:qFormat/>
    <w:uiPriority w:val="0"/>
    <w:rPr>
      <w:rFonts w:ascii="Arial" w:hAnsi="Arial" w:cs="Arial"/>
      <w:color w:val="000000"/>
      <w:sz w:val="16"/>
      <w:szCs w:val="16"/>
      <w:u w:val="none"/>
    </w:rPr>
  </w:style>
  <w:style w:type="character" w:customStyle="1" w:styleId="18">
    <w:name w:val="font71"/>
    <w:basedOn w:val="9"/>
    <w:qFormat/>
    <w:uiPriority w:val="0"/>
    <w:rPr>
      <w:rFonts w:hint="eastAsia" w:ascii="宋体" w:hAnsi="宋体" w:eastAsia="宋体" w:cs="宋体"/>
      <w:color w:val="000000"/>
      <w:sz w:val="18"/>
      <w:szCs w:val="18"/>
      <w:u w:val="none"/>
    </w:rPr>
  </w:style>
  <w:style w:type="character" w:customStyle="1" w:styleId="19">
    <w:name w:val="font41"/>
    <w:basedOn w:val="9"/>
    <w:qFormat/>
    <w:uiPriority w:val="0"/>
    <w:rPr>
      <w:rFonts w:hint="eastAsia" w:ascii="宋体" w:hAnsi="宋体" w:eastAsia="宋体" w:cs="宋体"/>
      <w:color w:val="000000"/>
      <w:sz w:val="16"/>
      <w:szCs w:val="16"/>
      <w:u w:val="none"/>
    </w:rPr>
  </w:style>
  <w:style w:type="character" w:customStyle="1" w:styleId="20">
    <w:name w:val="font61"/>
    <w:basedOn w:val="9"/>
    <w:qFormat/>
    <w:uiPriority w:val="0"/>
    <w:rPr>
      <w:rFonts w:hint="default" w:ascii="PMingLiU" w:hAnsi="PMingLiU" w:eastAsia="PMingLiU" w:cs="PMingLiU"/>
      <w:color w:val="000000"/>
      <w:sz w:val="20"/>
      <w:szCs w:val="20"/>
      <w:u w:val="none"/>
    </w:rPr>
  </w:style>
  <w:style w:type="character" w:customStyle="1" w:styleId="21">
    <w:name w:val="font01"/>
    <w:basedOn w:val="9"/>
    <w:qFormat/>
    <w:uiPriority w:val="0"/>
    <w:rPr>
      <w:rFonts w:hint="default" w:ascii="MingLiU" w:hAnsi="MingLiU" w:eastAsia="MingLiU" w:cs="MingLiU"/>
      <w:color w:val="000000"/>
      <w:sz w:val="20"/>
      <w:szCs w:val="20"/>
      <w:u w:val="none"/>
    </w:rPr>
  </w:style>
  <w:style w:type="character" w:customStyle="1" w:styleId="22">
    <w:name w:val="font31"/>
    <w:basedOn w:val="9"/>
    <w:qFormat/>
    <w:uiPriority w:val="0"/>
    <w:rPr>
      <w:rFonts w:hint="eastAsia" w:ascii="宋体" w:hAnsi="宋体" w:eastAsia="宋体" w:cs="宋体"/>
      <w:color w:val="000000"/>
      <w:sz w:val="20"/>
      <w:szCs w:val="20"/>
      <w:u w:val="none"/>
    </w:rPr>
  </w:style>
  <w:style w:type="character" w:customStyle="1" w:styleId="23">
    <w:name w:val="font101"/>
    <w:basedOn w:val="9"/>
    <w:qFormat/>
    <w:uiPriority w:val="0"/>
    <w:rPr>
      <w:rFonts w:hint="eastAsia" w:ascii="宋体" w:hAnsi="宋体" w:eastAsia="宋体" w:cs="宋体"/>
      <w:i/>
      <w:iCs/>
      <w:color w:val="000000"/>
      <w:sz w:val="20"/>
      <w:szCs w:val="20"/>
      <w:u w:val="none"/>
    </w:rPr>
  </w:style>
  <w:style w:type="paragraph" w:customStyle="1" w:styleId="24">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5">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6">
    <w:name w:val="Table caption|1"/>
    <w:basedOn w:val="1"/>
    <w:qFormat/>
    <w:uiPriority w:val="0"/>
    <w:rPr>
      <w:rFonts w:ascii="宋体" w:hAnsi="宋体" w:eastAsia="宋体" w:cs="宋体"/>
      <w:sz w:val="20"/>
      <w:szCs w:val="20"/>
      <w:lang w:val="zh-TW" w:eastAsia="zh-TW" w:bidi="zh-TW"/>
    </w:rPr>
  </w:style>
  <w:style w:type="paragraph" w:customStyle="1" w:styleId="27">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8">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29">
    <w:name w:val="Header or footer|2"/>
    <w:basedOn w:val="1"/>
    <w:qFormat/>
    <w:uiPriority w:val="0"/>
    <w:rPr>
      <w:sz w:val="20"/>
      <w:szCs w:val="20"/>
      <w:lang w:val="zh-TW" w:eastAsia="zh-TW" w:bidi="zh-TW"/>
    </w:rPr>
  </w:style>
  <w:style w:type="paragraph" w:styleId="3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3527</Words>
  <Characters>20110</Characters>
  <Lines>167</Lines>
  <Paragraphs>47</Paragraphs>
  <TotalTime>0</TotalTime>
  <ScaleCrop>false</ScaleCrop>
  <LinksUpToDate>false</LinksUpToDate>
  <CharactersWithSpaces>23590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2022-05-16T10:14:00Z</dcterms:created>
  <dc:creator>魏宝兴</dc:creator>
  <cp:lastModifiedBy>7月LEO</cp:lastModifiedBy>
  <cp:lastPrinted>2022-06-07T03:54:00Z</cp:lastPrinted>
  <dcterms:modified xsi:type="dcterms:W3CDTF">2022-06-08T04:03:36Z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003F4B7C55754348827E781723701253</vt:lpwstr>
  </property>
</Properties>
</file>