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项目名称：广西骨伤医院绩效管理及配套软件服</w:t>
      </w:r>
    </w:p>
    <w:p>
      <w:pPr>
        <w:spacing w:line="400" w:lineRule="exact"/>
        <w:ind w:firstLine="3036" w:firstLineChars="9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务采购项目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w:t>
      </w:r>
      <w:r>
        <w:rPr>
          <w:rFonts w:ascii="仿宋_GB2312" w:hAnsi="宋体" w:eastAsia="仿宋_GB2312" w:cs="Times New Roman"/>
          <w:b/>
          <w:color w:val="000000"/>
          <w:sz w:val="32"/>
          <w:szCs w:val="32"/>
        </w:rPr>
        <w:t>GXGSYY-CGB-XXWLZX-2022-001</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 xml:space="preserve">月 </w:t>
      </w:r>
      <w:r>
        <w:rPr>
          <w:rFonts w:ascii="仿宋_GB2312" w:hAnsi="宋体" w:eastAsia="仿宋_GB2312" w:cs="Times New Roman"/>
          <w:b/>
          <w:color w:val="000000"/>
          <w:sz w:val="32"/>
          <w:szCs w:val="32"/>
        </w:rPr>
        <w:t>12</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0" w:name="_Toc47452204"/>
      <w:r>
        <w:rPr>
          <w:rFonts w:hint="eastAsia" w:ascii="Cambria" w:hAnsi="Cambria" w:eastAsia="宋体" w:cs="Times New Roman"/>
          <w:b/>
          <w:bCs/>
          <w:color w:val="000000"/>
          <w:sz w:val="32"/>
          <w:szCs w:val="32"/>
          <w:lang w:val="zh-CN" w:eastAsia="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eastAsia="zh-CN"/>
        </w:rPr>
      </w:pPr>
      <w:bookmarkStart w:id="1" w:name="_Toc47452205"/>
      <w:bookmarkStart w:id="2" w:name="_Toc35393798"/>
      <w:bookmarkStart w:id="3" w:name="_Toc28359089"/>
      <w:bookmarkStart w:id="4" w:name="_Toc35393629"/>
      <w:bookmarkStart w:id="5" w:name="_Toc44229878"/>
      <w:bookmarkStart w:id="6" w:name="_Toc28359012"/>
      <w:r>
        <w:rPr>
          <w:rFonts w:hint="eastAsia" w:ascii="宋体" w:hAnsi="宋体" w:eastAsia="宋体" w:cs="宋体"/>
          <w:b/>
          <w:color w:val="000000"/>
          <w:szCs w:val="21"/>
          <w:lang w:val="zh-CN" w:eastAsia="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ascii="宋体" w:hAnsi="宋体" w:eastAsia="宋体" w:cs="Times New Roman"/>
          <w:color w:val="000000"/>
          <w:szCs w:val="21"/>
        </w:rPr>
        <w:t>GXGSYY-CGB-XXWLZX-2022-001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项目名称：广西骨伤医院绩效管理及配套软件服务采购项目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28</w:t>
      </w:r>
      <w:r>
        <w:rPr>
          <w:rFonts w:hint="eastAsia" w:ascii="宋体" w:hAnsi="宋体" w:eastAsia="宋体" w:cs="Times New Roman"/>
          <w:color w:val="000000"/>
          <w:szCs w:val="21"/>
        </w:rPr>
        <w:t>万元。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最高限价：</w:t>
      </w:r>
      <w:r>
        <w:rPr>
          <w:rFonts w:ascii="宋体" w:hAnsi="宋体" w:eastAsia="宋体" w:cs="Times New Roman"/>
          <w:color w:val="000000"/>
          <w:szCs w:val="21"/>
        </w:rPr>
        <w:t>28</w:t>
      </w:r>
      <w:r>
        <w:rPr>
          <w:rFonts w:hint="eastAsia" w:ascii="宋体" w:hAnsi="宋体" w:eastAsia="宋体" w:cs="Times New Roman"/>
          <w:color w:val="000000"/>
          <w:szCs w:val="21"/>
        </w:rPr>
        <w:t>万元。</w:t>
      </w:r>
      <w:bookmarkStart w:id="7" w:name="_Toc44229879"/>
      <w:bookmarkStart w:id="8" w:name="_Toc28359013"/>
      <w:bookmarkStart w:id="9" w:name="_Toc35393799"/>
      <w:bookmarkStart w:id="10" w:name="_Toc35393630"/>
      <w:bookmarkStart w:id="11" w:name="_Toc28359090"/>
      <w:bookmarkStart w:id="12" w:name="_Toc4745220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pPr>
              <w:spacing w:line="440" w:lineRule="exact"/>
              <w:rPr>
                <w:rFonts w:ascii="宋体" w:hAnsi="宋体" w:eastAsia="宋体" w:cs="Calibri"/>
                <w:color w:val="000000"/>
                <w:szCs w:val="21"/>
              </w:rPr>
            </w:pPr>
            <w:r>
              <w:rPr>
                <w:rFonts w:hint="eastAsia" w:ascii="宋体" w:hAnsi="宋体" w:eastAsia="宋体" w:cs="Calibri"/>
                <w:color w:val="000000"/>
                <w:szCs w:val="21"/>
              </w:rPr>
              <w:t>广西骨伤医院绩效管理及配套软件服务采购项目</w:t>
            </w:r>
          </w:p>
        </w:tc>
        <w:tc>
          <w:tcPr>
            <w:tcW w:w="992" w:type="dxa"/>
            <w:tcBorders>
              <w:top w:val="single" w:color="auto" w:sz="4" w:space="0"/>
              <w:left w:val="nil"/>
              <w:bottom w:val="single" w:color="auto" w:sz="4" w:space="0"/>
              <w:right w:val="single" w:color="auto" w:sz="4" w:space="0"/>
            </w:tcBorders>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p>
            <w:pPr>
              <w:rPr>
                <w:rFonts w:ascii="宋体" w:hAnsi="宋体" w:eastAsia="宋体" w:cs="Times New Roman"/>
                <w:kern w:val="0"/>
                <w:szCs w:val="21"/>
              </w:rPr>
            </w:pPr>
            <w:r>
              <w:rPr>
                <w:rFonts w:hint="eastAsia" w:ascii="宋体" w:hAnsi="宋体" w:eastAsia="宋体" w:cs="Times New Roman"/>
                <w:kern w:val="0"/>
                <w:szCs w:val="21"/>
              </w:rPr>
              <w:t>（一）绩效管理方案</w:t>
            </w:r>
          </w:p>
          <w:p>
            <w:pPr>
              <w:rPr>
                <w:rFonts w:ascii="宋体" w:hAnsi="宋体" w:eastAsia="宋体" w:cs="Times New Roman"/>
                <w:kern w:val="0"/>
                <w:szCs w:val="21"/>
              </w:rPr>
            </w:pPr>
            <w:r>
              <w:rPr>
                <w:rFonts w:hint="eastAsia" w:ascii="宋体" w:hAnsi="宋体" w:eastAsia="宋体" w:cs="Times New Roman"/>
                <w:kern w:val="0"/>
                <w:szCs w:val="21"/>
              </w:rPr>
              <w:t>基于医院战略目标构建的全方位绩效管理考评体系，建立符合医院实际情况，可操作的，能够稳步推进（或分阶段进行）保证医院稳定发展，切实可行的管理模式和实施方案。方案应满足如下要求：</w:t>
            </w:r>
          </w:p>
          <w:p>
            <w:pPr>
              <w:rPr>
                <w:rFonts w:ascii="宋体" w:hAnsi="宋体" w:eastAsia="宋体" w:cs="Times New Roman"/>
                <w:kern w:val="0"/>
                <w:szCs w:val="21"/>
              </w:rPr>
            </w:pPr>
            <w:r>
              <w:rPr>
                <w:rFonts w:ascii="宋体" w:hAnsi="宋体" w:eastAsia="宋体" w:cs="Times New Roman"/>
                <w:kern w:val="0"/>
                <w:szCs w:val="21"/>
              </w:rPr>
              <w:t>1、以新医改的政策导向和要求为基础，符合中共中央、国务院《关于深化医药卫生体制改革的意见》、《公立医院改革试点指导意见》的要求，符合目前医改的相关政策和</w:t>
            </w:r>
            <w:r>
              <w:rPr>
                <w:rFonts w:hint="eastAsia" w:ascii="宋体" w:hAnsi="宋体" w:eastAsia="宋体" w:cs="Times New Roman"/>
                <w:kern w:val="0"/>
                <w:szCs w:val="21"/>
              </w:rPr>
              <w:t>卫生健康委</w:t>
            </w:r>
            <w:r>
              <w:rPr>
                <w:rFonts w:ascii="宋体" w:hAnsi="宋体" w:eastAsia="宋体" w:cs="Times New Roman"/>
                <w:kern w:val="0"/>
                <w:szCs w:val="21"/>
              </w:rPr>
              <w:t>“</w:t>
            </w:r>
            <w:r>
              <w:rPr>
                <w:rFonts w:hint="eastAsia" w:ascii="宋体" w:hAnsi="宋体" w:eastAsia="宋体" w:cs="Times New Roman"/>
                <w:kern w:val="0"/>
                <w:szCs w:val="21"/>
              </w:rPr>
              <w:t>九项准则</w:t>
            </w:r>
            <w:r>
              <w:rPr>
                <w:rFonts w:ascii="宋体" w:hAnsi="宋体" w:eastAsia="宋体" w:cs="Times New Roman"/>
                <w:kern w:val="0"/>
                <w:szCs w:val="21"/>
              </w:rPr>
              <w:t>”的要求，符合医院管理导向和学科建设导向，关注医院工作人员价值的体现和回归，推动和促进人员的职业生涯规划和发展。</w:t>
            </w:r>
          </w:p>
          <w:p>
            <w:pPr>
              <w:snapToGrid w:val="0"/>
              <w:spacing w:line="320" w:lineRule="exact"/>
              <w:rPr>
                <w:rFonts w:ascii="宋体" w:hAnsi="宋体" w:eastAsia="宋体" w:cs="Calibri"/>
                <w:color w:val="000000"/>
                <w:szCs w:val="21"/>
              </w:rPr>
            </w:pPr>
            <w:r>
              <w:rPr>
                <w:rFonts w:hint="eastAsia" w:ascii="宋体" w:hAnsi="宋体" w:eastAsia="宋体" w:cs="Calibri"/>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eastAsia="zh-CN"/>
        </w:rPr>
      </w:pPr>
      <w:r>
        <w:rPr>
          <w:rFonts w:hint="eastAsia" w:ascii="宋体" w:hAnsi="宋体" w:eastAsia="宋体" w:cs="宋体"/>
          <w:b/>
          <w:color w:val="000000"/>
          <w:szCs w:val="21"/>
          <w:lang w:val="zh-CN"/>
        </w:rPr>
        <w:t>二</w:t>
      </w:r>
      <w:r>
        <w:rPr>
          <w:rFonts w:hint="eastAsia" w:ascii="宋体" w:hAnsi="宋体" w:eastAsia="宋体" w:cs="宋体"/>
          <w:b/>
          <w:color w:val="000000"/>
          <w:szCs w:val="21"/>
          <w:lang w:val="zh-CN" w:eastAsia="zh-CN"/>
        </w:rPr>
        <w:t>、供应商的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3.国内注册，具有法人资格，具备相关项目经营范围的单位。</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31</w:t>
      </w:r>
      <w:bookmarkStart w:id="27" w:name="_GoBack"/>
      <w:bookmarkEnd w:id="27"/>
      <w:r>
        <w:rPr>
          <w:rFonts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bookmarkEnd w:id="13"/>
      <w:bookmarkEnd w:id="14"/>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1.响应文件提交开始时间：2022年5月</w:t>
      </w:r>
      <w:r>
        <w:rPr>
          <w:rFonts w:hint="eastAsia" w:ascii="宋体" w:hAnsi="宋体" w:eastAsia="宋体" w:cs="Times New Roman"/>
          <w:color w:val="000000"/>
          <w:szCs w:val="21"/>
          <w:lang w:val="en-US" w:eastAsia="zh-CN"/>
        </w:rPr>
        <w:t>24</w:t>
      </w:r>
      <w:r>
        <w:rPr>
          <w:rFonts w:hint="eastAsia" w:ascii="宋体" w:hAnsi="宋体" w:eastAsia="宋体" w:cs="Times New Roman"/>
          <w:color w:val="000000"/>
          <w:szCs w:val="21"/>
        </w:rPr>
        <w:t>日8时00分（北京时间）</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2.响应文件提交截止时间：2022年5月31日 18时00分（北京时间）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eastAsia="zh-CN"/>
        </w:rPr>
      </w:pPr>
      <w:bookmarkStart w:id="15" w:name="_Toc47452213"/>
      <w:r>
        <w:rPr>
          <w:rFonts w:hint="eastAsia" w:ascii="Cambria" w:hAnsi="Cambria" w:eastAsia="宋体" w:cs="Times New Roman"/>
          <w:b/>
          <w:bCs/>
          <w:color w:val="000000"/>
          <w:sz w:val="32"/>
          <w:szCs w:val="32"/>
          <w:lang w:val="zh-CN" w:eastAsia="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highlight w:val="yellow"/>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三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1.1本竞争性磋商文件仅适用于广西骨伤医院</w:t>
      </w:r>
      <w:r>
        <w:rPr>
          <w:rFonts w:hint="eastAsia" w:ascii="宋体" w:hAnsi="宋体" w:eastAsia="宋体" w:cs="Times New Roman"/>
          <w:bCs/>
          <w:color w:val="000000"/>
          <w:szCs w:val="21"/>
        </w:rPr>
        <w:t>绩效管理及配套软件采购项目。</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60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4" w:hRule="atLeast"/>
          <w:jc w:val="center"/>
        </w:trPr>
        <w:tc>
          <w:tcPr>
            <w:tcW w:w="8144"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129"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9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022"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129" w:type="dxa"/>
          </w:tcPr>
          <w:p>
            <w:pPr>
              <w:tabs>
                <w:tab w:val="left" w:pos="180"/>
                <w:tab w:val="left" w:pos="1620"/>
              </w:tabs>
              <w:spacing w:line="440" w:lineRule="exact"/>
              <w:rPr>
                <w:rFonts w:ascii="宋体" w:hAnsi="宋体" w:eastAsia="宋体" w:cs="宋体"/>
                <w:color w:val="000000"/>
                <w:szCs w:val="21"/>
              </w:rPr>
            </w:pPr>
            <w:r>
              <w:rPr>
                <w:rFonts w:hint="eastAsia" w:ascii="宋体" w:hAnsi="宋体" w:eastAsia="宋体" w:cs="宋体"/>
                <w:color w:val="000000"/>
                <w:szCs w:val="21"/>
              </w:rPr>
              <w:t>绩效管理及配套软件服务采购项目</w:t>
            </w:r>
          </w:p>
        </w:tc>
        <w:tc>
          <w:tcPr>
            <w:tcW w:w="993" w:type="dxa"/>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6022" w:type="dxa"/>
          </w:tcPr>
          <w:p>
            <w:pPr>
              <w:rPr>
                <w:rFonts w:ascii="宋体" w:hAnsi="宋体" w:eastAsia="宋体" w:cs="Times New Roman"/>
                <w:kern w:val="0"/>
                <w:szCs w:val="21"/>
              </w:rPr>
            </w:pPr>
            <w:r>
              <w:rPr>
                <w:rFonts w:hint="eastAsia" w:ascii="宋体" w:hAnsi="宋体" w:eastAsia="宋体" w:cs="Times New Roman"/>
                <w:kern w:val="0"/>
                <w:szCs w:val="21"/>
              </w:rPr>
              <w:t>（一）绩效管理方案</w:t>
            </w:r>
          </w:p>
          <w:p>
            <w:pPr>
              <w:rPr>
                <w:rFonts w:ascii="宋体" w:hAnsi="宋体" w:eastAsia="宋体" w:cs="Times New Roman"/>
                <w:kern w:val="0"/>
                <w:szCs w:val="21"/>
              </w:rPr>
            </w:pPr>
            <w:r>
              <w:rPr>
                <w:rFonts w:hint="eastAsia" w:ascii="宋体" w:hAnsi="宋体" w:eastAsia="宋体" w:cs="Times New Roman"/>
                <w:kern w:val="0"/>
                <w:szCs w:val="21"/>
              </w:rPr>
              <w:t>基于医院战略目标构建的全方位绩效管理考评体系，建立符合医院实际情况，可操作的，能够稳步推进（或分阶段进行）保证医院稳定发展，切实可行的管理模式和实施方案。方案应满足如下要求：</w:t>
            </w:r>
          </w:p>
          <w:p>
            <w:pPr>
              <w:rPr>
                <w:rFonts w:ascii="宋体" w:hAnsi="宋体" w:eastAsia="宋体" w:cs="Times New Roman"/>
                <w:kern w:val="0"/>
                <w:szCs w:val="21"/>
              </w:rPr>
            </w:pPr>
            <w:r>
              <w:rPr>
                <w:rFonts w:ascii="宋体" w:hAnsi="宋体" w:eastAsia="宋体" w:cs="Times New Roman"/>
                <w:kern w:val="0"/>
                <w:szCs w:val="21"/>
              </w:rPr>
              <w:t>1、以新医改的政策导向和要求为基础，符合中共中央、国务院《关于深化医药卫生体制改革的意见》、《公立医院改革试点指导意见》的要求，符合目前医改的相关政策和</w:t>
            </w:r>
            <w:r>
              <w:rPr>
                <w:rFonts w:hint="eastAsia" w:ascii="宋体" w:hAnsi="宋体" w:eastAsia="宋体" w:cs="Times New Roman"/>
                <w:kern w:val="0"/>
                <w:szCs w:val="21"/>
              </w:rPr>
              <w:t>卫生健康委</w:t>
            </w:r>
            <w:r>
              <w:rPr>
                <w:rFonts w:ascii="宋体" w:hAnsi="宋体" w:eastAsia="宋体" w:cs="Times New Roman"/>
                <w:kern w:val="0"/>
                <w:szCs w:val="21"/>
              </w:rPr>
              <w:t>“</w:t>
            </w:r>
            <w:r>
              <w:rPr>
                <w:rFonts w:hint="eastAsia" w:ascii="宋体" w:hAnsi="宋体" w:eastAsia="宋体" w:cs="Times New Roman"/>
                <w:kern w:val="0"/>
                <w:szCs w:val="21"/>
              </w:rPr>
              <w:t>九项准则</w:t>
            </w:r>
            <w:r>
              <w:rPr>
                <w:rFonts w:ascii="宋体" w:hAnsi="宋体" w:eastAsia="宋体" w:cs="Times New Roman"/>
                <w:kern w:val="0"/>
                <w:szCs w:val="21"/>
              </w:rPr>
              <w:t>”的要求，符合医院管理导向和学科建设导向，关注医院工作人员价值的体现和回归，推动和促进人员的职业生涯规划和发展。</w:t>
            </w:r>
          </w:p>
          <w:p>
            <w:pPr>
              <w:rPr>
                <w:rFonts w:ascii="宋体" w:hAnsi="宋体" w:eastAsia="宋体" w:cs="Times New Roman"/>
                <w:kern w:val="0"/>
                <w:szCs w:val="21"/>
              </w:rPr>
            </w:pPr>
            <w:r>
              <w:rPr>
                <w:rFonts w:ascii="宋体" w:hAnsi="宋体" w:eastAsia="宋体" w:cs="Times New Roman"/>
                <w:kern w:val="0"/>
                <w:szCs w:val="21"/>
              </w:rPr>
              <w:t>2、方案应实现从以经济指标核算的分配方式到以工作量、工作质量、工作风险、工作难易度、技术水平为主的分配方式转变；符合医院对绩效工资的预算管理，对临床、护理、医技、行政等不同职系制定科学合理的分配比例；区分医师、护理、技师、管理、医辅等不同岗位，针对不同岗位合理设置差距，真正体现各岗位的价值贡献，向高风险、高责任、高技术、高贡献岗位倾斜；对各护理单元提供客观的评价方案和方法，确定各护理单元之间的差别。</w:t>
            </w:r>
          </w:p>
          <w:p>
            <w:pPr>
              <w:rPr>
                <w:rFonts w:ascii="宋体" w:hAnsi="宋体" w:eastAsia="宋体" w:cs="Times New Roman"/>
                <w:kern w:val="0"/>
                <w:szCs w:val="21"/>
              </w:rPr>
            </w:pPr>
            <w:r>
              <w:rPr>
                <w:rFonts w:ascii="宋体" w:hAnsi="宋体" w:eastAsia="宋体" w:cs="Times New Roman"/>
                <w:kern w:val="0"/>
                <w:szCs w:val="21"/>
              </w:rPr>
              <w:t>3、制定合理的方案实施步骤，对内依据基础工作完成情况和员工接受程度稳妥推进、平稳过度，降低管理改革风险，对外依据医保政策及其他相关国家政策要求，并能实现可持续改进。</w:t>
            </w:r>
          </w:p>
          <w:p>
            <w:pPr>
              <w:rPr>
                <w:rFonts w:ascii="宋体" w:hAnsi="宋体" w:eastAsia="宋体" w:cs="Times New Roman"/>
                <w:kern w:val="0"/>
                <w:szCs w:val="21"/>
              </w:rPr>
            </w:pPr>
            <w:r>
              <w:rPr>
                <w:rFonts w:ascii="宋体" w:hAnsi="宋体" w:eastAsia="宋体" w:cs="Times New Roman"/>
                <w:kern w:val="0"/>
                <w:szCs w:val="21"/>
              </w:rPr>
              <w:t>4、绩效核算体系包括工作量绩效核算、质量管控绩效核算、成本管控绩效核算、关键指标绩效核算等多方面。</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工作量绩效按照各岗位工作人员工作强度、技术和风险确定核算标准，按实际发生数量进行核算，要求使用DRGS权重系数核算内科医师、使用RBRVS核算外科医师、使用相关工作量标准核算其他岗位。</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质量管控绩效根据科室各项月度绩效质量控制指标的完成情况核算。</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成本管控绩效根据科室各项月度成本控制指标的完成情况核算。</w:t>
            </w:r>
          </w:p>
          <w:p>
            <w:pPr>
              <w:rPr>
                <w:rFonts w:ascii="宋体" w:hAnsi="宋体" w:eastAsia="宋体" w:cs="Times New Roman"/>
                <w:kern w:val="0"/>
                <w:szCs w:val="21"/>
              </w:rPr>
            </w:pPr>
            <w:r>
              <w:rPr>
                <w:rFonts w:ascii="宋体" w:hAnsi="宋体" w:eastAsia="宋体" w:cs="Times New Roman"/>
                <w:kern w:val="0"/>
                <w:szCs w:val="21"/>
              </w:rPr>
              <w:t></w:t>
            </w:r>
            <w:r>
              <w:rPr>
                <w:rFonts w:ascii="宋体" w:hAnsi="宋体" w:eastAsia="宋体" w:cs="Times New Roman"/>
                <w:kern w:val="0"/>
                <w:szCs w:val="21"/>
              </w:rPr>
              <w:tab/>
            </w:r>
            <w:r>
              <w:rPr>
                <w:rFonts w:ascii="宋体" w:hAnsi="宋体" w:eastAsia="宋体" w:cs="Times New Roman"/>
                <w:kern w:val="0"/>
                <w:szCs w:val="21"/>
              </w:rPr>
              <w:t>关键指标绩效根据科室各项关键指标的完成情况核算。</w:t>
            </w:r>
          </w:p>
          <w:p>
            <w:pPr>
              <w:rPr>
                <w:rFonts w:ascii="宋体" w:hAnsi="宋体" w:eastAsia="宋体" w:cs="Times New Roman"/>
                <w:kern w:val="0"/>
                <w:szCs w:val="21"/>
              </w:rPr>
            </w:pPr>
            <w:r>
              <w:rPr>
                <w:rFonts w:ascii="宋体" w:hAnsi="宋体" w:eastAsia="宋体" w:cs="Times New Roman"/>
                <w:kern w:val="0"/>
                <w:szCs w:val="21"/>
              </w:rPr>
              <w:t>5、绩效分配实行院科两级分配制度，提供各岗位的绩效二次分配指导意见。</w:t>
            </w:r>
          </w:p>
          <w:p>
            <w:pPr>
              <w:rPr>
                <w:rFonts w:ascii="宋体" w:hAnsi="宋体" w:eastAsia="宋体" w:cs="Times New Roman"/>
                <w:kern w:val="0"/>
                <w:szCs w:val="21"/>
              </w:rPr>
            </w:pPr>
            <w:r>
              <w:rPr>
                <w:rFonts w:ascii="宋体" w:hAnsi="宋体" w:eastAsia="宋体" w:cs="Times New Roman"/>
                <w:kern w:val="0"/>
                <w:szCs w:val="21"/>
              </w:rPr>
              <w:t>6、在绩效实施过程中，确定绩效推进的整体进度、并有效控制各阶段实施质量；开展各项问卷调查并协助确定各岗位间合理绩效差距；对于绩效数据的测算结果，</w:t>
            </w:r>
            <w:r>
              <w:rPr>
                <w:rFonts w:hint="eastAsia" w:ascii="宋体" w:hAnsi="宋体" w:eastAsia="宋体" w:cs="Times New Roman"/>
                <w:kern w:val="0"/>
                <w:szCs w:val="21"/>
              </w:rPr>
              <w:t>供应商</w:t>
            </w:r>
            <w:r>
              <w:rPr>
                <w:rFonts w:ascii="宋体" w:hAnsi="宋体" w:eastAsia="宋体" w:cs="Times New Roman"/>
                <w:kern w:val="0"/>
                <w:szCs w:val="21"/>
              </w:rPr>
              <w:t>应配合</w:t>
            </w:r>
            <w:r>
              <w:rPr>
                <w:rFonts w:hint="eastAsia" w:ascii="宋体" w:hAnsi="宋体" w:eastAsia="宋体" w:cs="Times New Roman"/>
                <w:kern w:val="0"/>
                <w:szCs w:val="21"/>
              </w:rPr>
              <w:t>采购</w:t>
            </w:r>
            <w:r>
              <w:rPr>
                <w:rFonts w:ascii="宋体" w:hAnsi="宋体" w:eastAsia="宋体" w:cs="Times New Roman"/>
                <w:kern w:val="0"/>
                <w:szCs w:val="21"/>
              </w:rPr>
              <w:t>人对医生、医技、护理等岗位人员做好沟通解释，确保绩效方案的顺利实施，并进行实施后的绩效评估分析。</w:t>
            </w:r>
          </w:p>
          <w:p>
            <w:pPr>
              <w:rPr>
                <w:rFonts w:ascii="宋体" w:hAnsi="宋体" w:eastAsia="宋体" w:cs="Times New Roman"/>
                <w:kern w:val="0"/>
                <w:szCs w:val="21"/>
              </w:rPr>
            </w:pPr>
            <w:r>
              <w:rPr>
                <w:rFonts w:ascii="宋体" w:hAnsi="宋体" w:eastAsia="宋体" w:cs="Times New Roman"/>
                <w:kern w:val="0"/>
                <w:szCs w:val="21"/>
              </w:rPr>
              <w:t>7、</w:t>
            </w:r>
            <w:r>
              <w:rPr>
                <w:rFonts w:hint="eastAsia" w:ascii="宋体" w:hAnsi="宋体" w:eastAsia="宋体" w:cs="Times New Roman"/>
                <w:kern w:val="0"/>
                <w:szCs w:val="21"/>
              </w:rPr>
              <w:t>供应商</w:t>
            </w:r>
            <w:r>
              <w:rPr>
                <w:rFonts w:ascii="宋体" w:hAnsi="宋体" w:eastAsia="宋体" w:cs="Times New Roman"/>
                <w:kern w:val="0"/>
                <w:szCs w:val="21"/>
              </w:rPr>
              <w:t>负责整个绩效系统数据测算，协助</w:t>
            </w:r>
            <w:r>
              <w:rPr>
                <w:rFonts w:hint="eastAsia" w:ascii="宋体" w:hAnsi="宋体" w:eastAsia="宋体" w:cs="Times New Roman"/>
                <w:kern w:val="0"/>
                <w:szCs w:val="21"/>
              </w:rPr>
              <w:t>采购人</w:t>
            </w:r>
            <w:r>
              <w:rPr>
                <w:rFonts w:ascii="宋体" w:hAnsi="宋体" w:eastAsia="宋体" w:cs="Times New Roman"/>
                <w:kern w:val="0"/>
                <w:szCs w:val="21"/>
              </w:rPr>
              <w:t>对历史数据进行前期准备、从相关科室提取绩效数据，依据历史数据通过数学建模方法测算出参数，使测算结果符合</w:t>
            </w:r>
            <w:r>
              <w:rPr>
                <w:rFonts w:hint="eastAsia" w:ascii="宋体" w:hAnsi="宋体" w:eastAsia="宋体" w:cs="Times New Roman"/>
                <w:kern w:val="0"/>
                <w:szCs w:val="21"/>
              </w:rPr>
              <w:t>采购人</w:t>
            </w:r>
            <w:r>
              <w:rPr>
                <w:rFonts w:ascii="宋体" w:hAnsi="宋体" w:eastAsia="宋体" w:cs="Times New Roman"/>
                <w:kern w:val="0"/>
                <w:szCs w:val="21"/>
              </w:rPr>
              <w:t>的要求。</w:t>
            </w:r>
          </w:p>
          <w:p>
            <w:pPr>
              <w:rPr>
                <w:rFonts w:ascii="宋体" w:hAnsi="宋体" w:eastAsia="宋体" w:cs="Times New Roman"/>
                <w:kern w:val="0"/>
                <w:szCs w:val="21"/>
              </w:rPr>
            </w:pPr>
            <w:r>
              <w:rPr>
                <w:rFonts w:hint="eastAsia" w:ascii="宋体" w:hAnsi="宋体" w:eastAsia="宋体" w:cs="Times New Roman"/>
                <w:kern w:val="0"/>
                <w:szCs w:val="21"/>
              </w:rPr>
              <w:t>（二）软件技术要求</w:t>
            </w:r>
          </w:p>
          <w:p>
            <w:pPr>
              <w:rPr>
                <w:rFonts w:ascii="宋体" w:hAnsi="宋体" w:eastAsia="宋体" w:cs="Times New Roman"/>
                <w:kern w:val="0"/>
                <w:szCs w:val="21"/>
              </w:rPr>
            </w:pPr>
            <w:r>
              <w:rPr>
                <w:rFonts w:ascii="宋体" w:hAnsi="宋体" w:eastAsia="宋体" w:cs="Times New Roman"/>
                <w:kern w:val="0"/>
                <w:szCs w:val="21"/>
              </w:rPr>
              <w:t>1、绩效管理平台软件系统应采用先进、主流的B/S体系架构，便于与其它系统集成并协同应用。</w:t>
            </w:r>
          </w:p>
          <w:p>
            <w:pPr>
              <w:rPr>
                <w:rFonts w:ascii="宋体" w:hAnsi="宋体" w:eastAsia="宋体" w:cs="Times New Roman"/>
                <w:kern w:val="0"/>
                <w:szCs w:val="21"/>
              </w:rPr>
            </w:pPr>
            <w:r>
              <w:rPr>
                <w:rFonts w:ascii="宋体" w:hAnsi="宋体" w:eastAsia="宋体" w:cs="Times New Roman"/>
                <w:kern w:val="0"/>
                <w:szCs w:val="21"/>
              </w:rPr>
              <w:t>2、支持与第三方信息系统的数据交换，数据来源支持：</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1）系统接口自动导入。可跨平台、抓取医疗机构分散零乱的数据 系统接口自动导入。</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2）电子表格导入。</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3）支持数据的手工录入。</w:t>
            </w:r>
          </w:p>
          <w:p>
            <w:pPr>
              <w:rPr>
                <w:rFonts w:ascii="宋体" w:hAnsi="宋体" w:eastAsia="宋体" w:cs="Times New Roman"/>
                <w:kern w:val="0"/>
                <w:szCs w:val="21"/>
              </w:rPr>
            </w:pPr>
            <w:r>
              <w:rPr>
                <w:rFonts w:ascii="宋体" w:hAnsi="宋体" w:eastAsia="宋体" w:cs="Times New Roman"/>
                <w:kern w:val="0"/>
                <w:szCs w:val="21"/>
              </w:rPr>
              <w:t>3、信息安全</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1）操作系统、数据库、网络系统的选择要求安全、稳定、可靠，保证24小时安全运行。</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2）设置严格的访问权限，保证数据的安全性。重要数据，提供有痕迹的更正功能。</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3）遵守国家有关保密制度的规定，不允许通过医院信息系统非法扩散重要数据。</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4）建立可靠的存储体系及备份方案，定期对数据库进行安全备份，实现信息长期保存。</w:t>
            </w:r>
          </w:p>
          <w:p>
            <w:pPr>
              <w:rPr>
                <w:rFonts w:ascii="宋体" w:hAnsi="宋体" w:eastAsia="宋体" w:cs="Times New Roman"/>
                <w:kern w:val="0"/>
                <w:szCs w:val="21"/>
              </w:rPr>
            </w:pPr>
            <w:r>
              <w:rPr>
                <w:rFonts w:ascii="宋体" w:hAnsi="宋体" w:eastAsia="宋体" w:cs="Times New Roman"/>
                <w:kern w:val="0"/>
                <w:szCs w:val="21"/>
              </w:rPr>
              <w:t>4、系统运维</w:t>
            </w:r>
          </w:p>
          <w:p>
            <w:pPr>
              <w:rPr>
                <w:rFonts w:ascii="宋体" w:hAnsi="宋体" w:eastAsia="宋体" w:cs="Times New Roman"/>
                <w:kern w:val="0"/>
                <w:szCs w:val="21"/>
              </w:rPr>
            </w:pPr>
            <w:r>
              <w:rPr>
                <w:rFonts w:hint="eastAsia" w:ascii="宋体" w:hAnsi="宋体" w:eastAsia="宋体" w:cs="Times New Roman"/>
                <w:kern w:val="0"/>
                <w:szCs w:val="21"/>
              </w:rPr>
              <w:t>系统在运行过程中，必须建立日志管理，提供管理制度及操作规程。系统维护应包括工作参数修改、数据字典维护、用户权限控制、操作口令或密码设置和修改、数据安全性操作、数据备份和恢复、故障排除等。因硬件故障造成软件重装的，软件免费安装。</w:t>
            </w:r>
          </w:p>
          <w:p>
            <w:pPr>
              <w:rPr>
                <w:rFonts w:ascii="宋体" w:hAnsi="宋体" w:eastAsia="宋体" w:cs="Times New Roman"/>
                <w:kern w:val="0"/>
                <w:szCs w:val="21"/>
              </w:rPr>
            </w:pPr>
            <w:r>
              <w:rPr>
                <w:rFonts w:hint="eastAsia" w:ascii="宋体" w:hAnsi="宋体" w:eastAsia="宋体" w:cs="Times New Roman"/>
                <w:kern w:val="0"/>
                <w:szCs w:val="21"/>
              </w:rPr>
              <w:t>（三）软件功能要求</w:t>
            </w:r>
          </w:p>
          <w:p>
            <w:pPr>
              <w:rPr>
                <w:rFonts w:ascii="宋体" w:hAnsi="宋体" w:eastAsia="宋体" w:cs="Times New Roman"/>
                <w:kern w:val="0"/>
                <w:szCs w:val="21"/>
              </w:rPr>
            </w:pPr>
            <w:r>
              <w:rPr>
                <w:rFonts w:ascii="宋体" w:hAnsi="宋体" w:eastAsia="宋体" w:cs="Times New Roman"/>
                <w:kern w:val="0"/>
                <w:szCs w:val="21"/>
              </w:rPr>
              <w:t>1、绩效单元管理</w:t>
            </w:r>
          </w:p>
          <w:p>
            <w:pPr>
              <w:rPr>
                <w:rFonts w:ascii="宋体" w:hAnsi="宋体" w:eastAsia="宋体" w:cs="Times New Roman"/>
                <w:kern w:val="0"/>
                <w:szCs w:val="21"/>
              </w:rPr>
            </w:pPr>
            <w:r>
              <w:rPr>
                <w:rFonts w:ascii="宋体" w:hAnsi="宋体" w:eastAsia="宋体" w:cs="Times New Roman"/>
                <w:kern w:val="0"/>
                <w:szCs w:val="21"/>
              </w:rPr>
              <w:t>(1)实现组织机构、编制管理、岗位管理。</w:t>
            </w:r>
          </w:p>
          <w:p>
            <w:pPr>
              <w:rPr>
                <w:rFonts w:ascii="宋体" w:hAnsi="宋体" w:eastAsia="宋体" w:cs="Times New Roman"/>
                <w:kern w:val="0"/>
                <w:szCs w:val="21"/>
              </w:rPr>
            </w:pPr>
            <w:r>
              <w:rPr>
                <w:rFonts w:ascii="宋体" w:hAnsi="宋体" w:eastAsia="宋体" w:cs="Times New Roman"/>
                <w:kern w:val="0"/>
                <w:szCs w:val="21"/>
              </w:rPr>
              <w:t>(2)灵活定义各机构之间、岗位之间的上下级关系，满足不同用户或同一用户不同时期的管理需要。</w:t>
            </w:r>
          </w:p>
          <w:p>
            <w:pPr>
              <w:rPr>
                <w:rFonts w:ascii="宋体" w:hAnsi="宋体" w:eastAsia="宋体" w:cs="Times New Roman"/>
                <w:kern w:val="0"/>
                <w:szCs w:val="21"/>
              </w:rPr>
            </w:pPr>
            <w:r>
              <w:rPr>
                <w:rFonts w:ascii="宋体" w:hAnsi="宋体" w:eastAsia="宋体" w:cs="Times New Roman"/>
                <w:kern w:val="0"/>
                <w:szCs w:val="21"/>
              </w:rPr>
              <w:t>(3)支持绩效单元的自定义、灵活配置和动态管理；绩效单元可对应到各级科室、医疗组、核算单元、发放单元、考勤单元；支持多科室组合设计。</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4）支持HIS科室与核算单元根据病房、门诊不同数据来源和不同岗位类型对应多个核算单元；同时支持发放单元对应多个不同岗位类型的核算单元。</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2、建立标准库</w:t>
            </w:r>
          </w:p>
          <w:p>
            <w:pPr>
              <w:rPr>
                <w:rFonts w:ascii="宋体" w:hAnsi="宋体" w:eastAsia="宋体" w:cs="Times New Roman"/>
                <w:kern w:val="0"/>
                <w:szCs w:val="21"/>
              </w:rPr>
            </w:pPr>
            <w:r>
              <w:rPr>
                <w:rFonts w:hint="eastAsia" w:ascii="宋体" w:hAnsi="宋体" w:eastAsia="宋体" w:cs="Times New Roman"/>
                <w:kern w:val="0"/>
                <w:szCs w:val="21"/>
              </w:rPr>
              <w:t>针对每个岗位建立标准库，包括：工作量标准库（包括护理、医技等）、门诊标准库、手术标准库（</w:t>
            </w:r>
            <w:r>
              <w:rPr>
                <w:rFonts w:ascii="宋体" w:hAnsi="宋体" w:eastAsia="宋体" w:cs="Times New Roman"/>
                <w:kern w:val="0"/>
                <w:szCs w:val="21"/>
              </w:rPr>
              <w:t>RBRVS）、病房标准库（DRGs）、特色技术标准库、行政标准库、质量管控标准库、成本管控标准库以及支持特殊科室定制标准库，并支持后续自主添加修改功能；支持专科版标准库与岗位通用版标准库。</w:t>
            </w:r>
          </w:p>
          <w:p>
            <w:pPr>
              <w:rPr>
                <w:rFonts w:ascii="宋体" w:hAnsi="宋体" w:eastAsia="宋体" w:cs="Times New Roman"/>
                <w:kern w:val="0"/>
                <w:szCs w:val="21"/>
              </w:rPr>
            </w:pPr>
            <w:r>
              <w:rPr>
                <w:rFonts w:hint="eastAsia" w:ascii="宋体" w:hAnsi="宋体" w:eastAsia="宋体" w:cs="Times New Roman"/>
                <w:kern w:val="0"/>
                <w:szCs w:val="21"/>
              </w:rPr>
              <w:t>全面覆盖护理、医师、医技、行政及特殊核算人员。</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3、算法设计</w:t>
            </w:r>
          </w:p>
          <w:p>
            <w:pPr>
              <w:rPr>
                <w:rFonts w:ascii="宋体" w:hAnsi="宋体" w:eastAsia="宋体" w:cs="Times New Roman"/>
                <w:kern w:val="0"/>
                <w:szCs w:val="21"/>
              </w:rPr>
            </w:pPr>
            <w:r>
              <w:rPr>
                <w:rFonts w:hint="eastAsia" w:ascii="宋体" w:hAnsi="宋体" w:eastAsia="宋体" w:cs="Times New Roman"/>
                <w:kern w:val="0"/>
                <w:szCs w:val="21"/>
              </w:rPr>
              <w:t>绩效核算过程中核心算法设计，包括：工作量绩效算法（包括护理、医技等）、岗位绩效算法、门诊绩效算法、病房绩效算法（</w:t>
            </w:r>
            <w:r>
              <w:rPr>
                <w:rFonts w:ascii="宋体" w:hAnsi="宋体" w:eastAsia="宋体" w:cs="Times New Roman"/>
                <w:kern w:val="0"/>
                <w:szCs w:val="21"/>
              </w:rPr>
              <w:t>DRGs）、手术绩效算法（RBRVS）、特色技术绩效算法、行政及辅助绩效算法、质量管控绩效算法、成本管控绩效算法、关键指标绩效算法以及支持特殊科室定制算法等，并支持后续自主添加修改。</w:t>
            </w:r>
          </w:p>
          <w:p>
            <w:pPr>
              <w:rPr>
                <w:rFonts w:ascii="宋体" w:hAnsi="宋体" w:eastAsia="宋体" w:cs="Times New Roman"/>
                <w:kern w:val="0"/>
                <w:szCs w:val="21"/>
              </w:rPr>
            </w:pPr>
            <w:r>
              <w:rPr>
                <w:rFonts w:ascii="宋体" w:hAnsi="宋体" w:eastAsia="宋体" w:cs="Times New Roman"/>
                <w:kern w:val="0"/>
                <w:szCs w:val="21"/>
              </w:rPr>
              <w:t>4、数据处理</w:t>
            </w:r>
          </w:p>
          <w:p>
            <w:pPr>
              <w:rPr>
                <w:rFonts w:ascii="宋体" w:hAnsi="宋体" w:eastAsia="宋体" w:cs="Times New Roman"/>
                <w:kern w:val="0"/>
                <w:szCs w:val="21"/>
              </w:rPr>
            </w:pPr>
            <w:r>
              <w:rPr>
                <w:rFonts w:hint="eastAsia" w:ascii="宋体" w:hAnsi="宋体" w:eastAsia="宋体" w:cs="Times New Roman"/>
                <w:kern w:val="0"/>
                <w:szCs w:val="21"/>
              </w:rPr>
              <w:t>数据导入：支持多种格式数据录入，包括手动录入、</w:t>
            </w:r>
            <w:r>
              <w:rPr>
                <w:rFonts w:ascii="宋体" w:hAnsi="宋体" w:eastAsia="宋体" w:cs="Times New Roman"/>
                <w:kern w:val="0"/>
                <w:szCs w:val="21"/>
              </w:rPr>
              <w:t>Excel表格导入或整合现有的接口资源,实现接口对接和数据交换。</w:t>
            </w:r>
          </w:p>
          <w:p>
            <w:pPr>
              <w:rPr>
                <w:rFonts w:ascii="宋体" w:hAnsi="宋体" w:eastAsia="宋体" w:cs="Times New Roman"/>
                <w:kern w:val="0"/>
                <w:szCs w:val="21"/>
              </w:rPr>
            </w:pPr>
            <w:r>
              <w:rPr>
                <w:rFonts w:hint="eastAsia" w:ascii="宋体" w:hAnsi="宋体" w:eastAsia="宋体" w:cs="Times New Roman"/>
                <w:kern w:val="0"/>
                <w:szCs w:val="21"/>
              </w:rPr>
              <w:t>数据清洗：对导入的数据进行预处理，自动筛查不规范、不合理及错误数据，删除重复信息、纠正存在的错误，提供数据一致性校验。</w:t>
            </w:r>
          </w:p>
          <w:p>
            <w:pPr>
              <w:rPr>
                <w:rFonts w:ascii="宋体" w:hAnsi="宋体" w:eastAsia="宋体" w:cs="Times New Roman"/>
                <w:kern w:val="0"/>
                <w:szCs w:val="21"/>
              </w:rPr>
            </w:pPr>
            <w:r>
              <w:rPr>
                <w:rFonts w:hint="eastAsia" w:ascii="宋体" w:hAnsi="宋体" w:eastAsia="宋体" w:cs="Times New Roman"/>
                <w:kern w:val="0"/>
                <w:szCs w:val="21"/>
              </w:rPr>
              <w:t>数据反馈：由绩效管理部门发布清洗后数据，科室进行数据确认与反馈；反馈流程支持多级审核。</w:t>
            </w:r>
          </w:p>
          <w:p>
            <w:pPr>
              <w:rPr>
                <w:rFonts w:ascii="宋体" w:hAnsi="宋体" w:eastAsia="宋体" w:cs="Times New Roman"/>
                <w:kern w:val="0"/>
                <w:szCs w:val="21"/>
              </w:rPr>
            </w:pPr>
            <w:r>
              <w:rPr>
                <w:rFonts w:ascii="宋体" w:hAnsi="宋体" w:eastAsia="宋体" w:cs="Times New Roman"/>
                <w:kern w:val="0"/>
                <w:szCs w:val="21"/>
              </w:rPr>
              <w:t>5、绩效核算</w:t>
            </w:r>
          </w:p>
          <w:p>
            <w:pPr>
              <w:rPr>
                <w:rFonts w:ascii="宋体" w:hAnsi="宋体" w:eastAsia="宋体" w:cs="Times New Roman"/>
                <w:kern w:val="0"/>
                <w:szCs w:val="21"/>
              </w:rPr>
            </w:pPr>
            <w:r>
              <w:rPr>
                <w:rFonts w:hint="eastAsia" w:ascii="宋体" w:hAnsi="宋体" w:eastAsia="宋体" w:cs="Times New Roman"/>
                <w:kern w:val="0"/>
                <w:szCs w:val="21"/>
              </w:rPr>
              <w:t>工作量绩效核算：根据各岗位工作量数据，以工作强度、风险和技术含量为主的岗位工作量绩效。</w:t>
            </w:r>
          </w:p>
          <w:p>
            <w:pPr>
              <w:rPr>
                <w:rFonts w:ascii="宋体" w:hAnsi="宋体" w:eastAsia="宋体" w:cs="Times New Roman"/>
                <w:kern w:val="0"/>
                <w:szCs w:val="21"/>
              </w:rPr>
            </w:pPr>
            <w:r>
              <w:rPr>
                <w:rFonts w:hint="eastAsia" w:ascii="宋体" w:hAnsi="宋体" w:eastAsia="宋体" w:cs="Times New Roman"/>
                <w:kern w:val="0"/>
                <w:szCs w:val="21"/>
              </w:rPr>
              <w:t>成本管控核算：对全岗位实行成本管控绩效，重点分析核算“可控成本”控制指标；在确保医院高效运行的同时，成本能控制在合理的范围。</w:t>
            </w:r>
          </w:p>
          <w:p>
            <w:pPr>
              <w:rPr>
                <w:rFonts w:ascii="宋体" w:hAnsi="宋体" w:eastAsia="宋体" w:cs="Times New Roman"/>
                <w:kern w:val="0"/>
                <w:szCs w:val="21"/>
              </w:rPr>
            </w:pPr>
            <w:r>
              <w:rPr>
                <w:rFonts w:hint="eastAsia" w:ascii="宋体" w:hAnsi="宋体" w:eastAsia="宋体" w:cs="Times New Roman"/>
                <w:kern w:val="0"/>
                <w:szCs w:val="21"/>
              </w:rPr>
              <w:t>质控绩效核算：建立规范可行的医疗数据质量控制标准，将质量控制数据按照分类赋分法、金额比例减扣法、金额按次减扣法等方法与绩效挂钩。</w:t>
            </w:r>
          </w:p>
          <w:p>
            <w:pPr>
              <w:rPr>
                <w:rFonts w:ascii="宋体" w:hAnsi="宋体" w:eastAsia="宋体" w:cs="Times New Roman"/>
                <w:kern w:val="0"/>
                <w:szCs w:val="21"/>
              </w:rPr>
            </w:pPr>
            <w:r>
              <w:rPr>
                <w:rFonts w:hint="eastAsia" w:ascii="宋体" w:hAnsi="宋体" w:eastAsia="宋体" w:cs="Times New Roman"/>
                <w:kern w:val="0"/>
                <w:szCs w:val="21"/>
              </w:rPr>
              <w:t>关键指标核算：根据临床科室操作规范、业务水平、工作量、医疗纠纷等综合情况针对医师、护理、医技等不同岗位建立科学、全面、有针对性的关键指标绩效。</w:t>
            </w:r>
          </w:p>
          <w:p>
            <w:pPr>
              <w:rPr>
                <w:rFonts w:ascii="宋体" w:hAnsi="宋体" w:eastAsia="宋体" w:cs="Times New Roman"/>
                <w:kern w:val="0"/>
                <w:szCs w:val="21"/>
              </w:rPr>
            </w:pPr>
            <w:r>
              <w:rPr>
                <w:rFonts w:ascii="宋体" w:hAnsi="宋体" w:eastAsia="宋体" w:cs="Times New Roman"/>
                <w:kern w:val="0"/>
                <w:szCs w:val="21"/>
              </w:rPr>
              <w:t>6、核算汇总</w:t>
            </w:r>
          </w:p>
          <w:p>
            <w:pPr>
              <w:rPr>
                <w:rFonts w:ascii="宋体" w:hAnsi="宋体" w:eastAsia="宋体" w:cs="Times New Roman"/>
                <w:kern w:val="0"/>
                <w:szCs w:val="21"/>
              </w:rPr>
            </w:pPr>
            <w:r>
              <w:rPr>
                <w:rFonts w:hint="eastAsia" w:ascii="宋体" w:hAnsi="宋体" w:eastAsia="宋体" w:cs="Times New Roman"/>
                <w:kern w:val="0"/>
                <w:szCs w:val="21"/>
              </w:rPr>
              <w:t>绩效管理部门对绩效数据进行汇总核算</w:t>
            </w:r>
            <w:r>
              <w:rPr>
                <w:rFonts w:ascii="宋体" w:hAnsi="宋体" w:eastAsia="宋体" w:cs="Times New Roman"/>
                <w:kern w:val="0"/>
                <w:szCs w:val="21"/>
              </w:rPr>
              <w:t>,发布给科室调配确认。绩效以核算单元（科室或工作实施的最小团队）为单位进行核算统计，以发放单元为单位进行汇总。</w:t>
            </w:r>
          </w:p>
          <w:p>
            <w:pPr>
              <w:rPr>
                <w:rFonts w:ascii="宋体" w:hAnsi="宋体" w:eastAsia="宋体" w:cs="Times New Roman"/>
                <w:kern w:val="0"/>
                <w:szCs w:val="21"/>
              </w:rPr>
            </w:pPr>
            <w:r>
              <w:rPr>
                <w:rFonts w:ascii="宋体" w:hAnsi="宋体" w:eastAsia="宋体" w:cs="Times New Roman"/>
                <w:kern w:val="0"/>
                <w:szCs w:val="21"/>
              </w:rPr>
              <w:t>7、绩效科室间调配与二次分配</w:t>
            </w:r>
          </w:p>
          <w:p>
            <w:pPr>
              <w:rPr>
                <w:rFonts w:ascii="宋体" w:hAnsi="宋体" w:eastAsia="宋体" w:cs="Times New Roman"/>
                <w:kern w:val="0"/>
                <w:szCs w:val="21"/>
              </w:rPr>
            </w:pPr>
            <w:r>
              <w:rPr>
                <w:rFonts w:hint="eastAsia" w:ascii="宋体" w:hAnsi="宋体" w:eastAsia="宋体" w:cs="Times New Roman"/>
                <w:kern w:val="0"/>
                <w:szCs w:val="21"/>
              </w:rPr>
              <w:t>支持大科主任对不同院区相同科室、同一院区相同科室间对绩效结果进行一定比率内调配。</w:t>
            </w:r>
          </w:p>
          <w:p>
            <w:pPr>
              <w:rPr>
                <w:rFonts w:ascii="宋体" w:hAnsi="宋体" w:eastAsia="宋体" w:cs="Times New Roman"/>
                <w:kern w:val="0"/>
                <w:szCs w:val="21"/>
              </w:rPr>
            </w:pPr>
            <w:r>
              <w:rPr>
                <w:rFonts w:hint="eastAsia" w:ascii="宋体" w:hAnsi="宋体" w:eastAsia="宋体" w:cs="Times New Roman"/>
                <w:kern w:val="0"/>
                <w:szCs w:val="21"/>
              </w:rPr>
              <w:t>支持根据发放单元进行绩效二次分配，支持绩效人员根据考勤自动获取，同时可以自主添加绩效分配人员；支持对绩效二次分配结果的自动校验。</w:t>
            </w:r>
          </w:p>
          <w:p>
            <w:pPr>
              <w:rPr>
                <w:rFonts w:ascii="宋体" w:hAnsi="宋体" w:eastAsia="宋体" w:cs="Times New Roman"/>
                <w:kern w:val="0"/>
                <w:szCs w:val="21"/>
              </w:rPr>
            </w:pPr>
            <w:r>
              <w:rPr>
                <w:rFonts w:ascii="宋体" w:hAnsi="宋体" w:eastAsia="宋体" w:cs="Times New Roman"/>
                <w:kern w:val="0"/>
                <w:szCs w:val="21"/>
              </w:rPr>
              <w:t>8、绩效发放</w:t>
            </w:r>
          </w:p>
          <w:p>
            <w:pPr>
              <w:rPr>
                <w:rFonts w:ascii="宋体" w:hAnsi="宋体" w:eastAsia="宋体" w:cs="Times New Roman"/>
                <w:kern w:val="0"/>
                <w:szCs w:val="21"/>
              </w:rPr>
            </w:pPr>
            <w:r>
              <w:rPr>
                <w:rFonts w:hint="eastAsia" w:ascii="宋体" w:hAnsi="宋体" w:eastAsia="宋体" w:cs="Times New Roman"/>
                <w:kern w:val="0"/>
                <w:szCs w:val="21"/>
              </w:rPr>
              <w:t>对全院月度绩效要进行系统发送，并可通过系统进行二次分配报送、匹配与汇总，根据要求生成可输出的</w:t>
            </w:r>
            <w:r>
              <w:rPr>
                <w:rFonts w:ascii="宋体" w:hAnsi="宋体" w:eastAsia="宋体" w:cs="Times New Roman"/>
                <w:kern w:val="0"/>
                <w:szCs w:val="21"/>
              </w:rPr>
              <w:t>Excel表格。</w:t>
            </w:r>
          </w:p>
          <w:p>
            <w:pPr>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9、基于CHS-DRG规则的分组器</w:t>
            </w:r>
          </w:p>
          <w:p>
            <w:pPr>
              <w:rPr>
                <w:rFonts w:ascii="宋体" w:hAnsi="宋体" w:eastAsia="宋体" w:cs="Times New Roman"/>
                <w:kern w:val="0"/>
                <w:szCs w:val="21"/>
              </w:rPr>
            </w:pPr>
            <w:r>
              <w:rPr>
                <w:rFonts w:hint="eastAsia" w:ascii="宋体" w:hAnsi="宋体" w:eastAsia="宋体" w:cs="Times New Roman"/>
                <w:kern w:val="0"/>
                <w:szCs w:val="21"/>
              </w:rPr>
              <w:t>编码映射：提供医院病案编码与</w:t>
            </w:r>
            <w:r>
              <w:rPr>
                <w:rFonts w:ascii="宋体" w:hAnsi="宋体" w:eastAsia="宋体" w:cs="Times New Roman"/>
                <w:kern w:val="0"/>
                <w:szCs w:val="21"/>
              </w:rPr>
              <w:t>CHS-DRG编码的映射关系，提供全部映射比对数据；</w:t>
            </w:r>
          </w:p>
          <w:p>
            <w:pPr>
              <w:rPr>
                <w:rFonts w:ascii="宋体" w:hAnsi="宋体" w:eastAsia="宋体" w:cs="Times New Roman"/>
                <w:kern w:val="0"/>
                <w:szCs w:val="21"/>
              </w:rPr>
            </w:pPr>
            <w:r>
              <w:rPr>
                <w:rFonts w:hint="eastAsia" w:ascii="宋体" w:hAnsi="宋体" w:eastAsia="宋体" w:cs="Times New Roman"/>
                <w:kern w:val="0"/>
                <w:szCs w:val="21"/>
              </w:rPr>
              <w:t>数据采集：自动采集病案系统出院患者主诊断。支持表单导入、手工填报等方式采集数据；</w:t>
            </w:r>
          </w:p>
          <w:p>
            <w:pPr>
              <w:rPr>
                <w:rFonts w:ascii="宋体" w:hAnsi="宋体" w:eastAsia="宋体" w:cs="Times New Roman"/>
                <w:kern w:val="0"/>
                <w:szCs w:val="21"/>
              </w:rPr>
            </w:pPr>
            <w:r>
              <w:rPr>
                <w:rFonts w:hint="eastAsia" w:ascii="宋体" w:hAnsi="宋体" w:eastAsia="宋体" w:cs="Times New Roman"/>
                <w:kern w:val="0"/>
                <w:szCs w:val="21"/>
              </w:rPr>
              <w:t>权重计算：支持自定义规则的权重计算，各项费用参与计算的比例可根据需要自行配置，支持权重计算公式的自定义；</w:t>
            </w:r>
          </w:p>
          <w:p>
            <w:pPr>
              <w:rPr>
                <w:rFonts w:ascii="宋体" w:hAnsi="宋体" w:eastAsia="宋体" w:cs="Times New Roman"/>
                <w:kern w:val="0"/>
                <w:szCs w:val="21"/>
              </w:rPr>
            </w:pPr>
            <w:r>
              <w:rPr>
                <w:rFonts w:hint="eastAsia" w:ascii="宋体" w:hAnsi="宋体" w:eastAsia="宋体" w:cs="Times New Roman"/>
                <w:kern w:val="0"/>
                <w:szCs w:val="21"/>
              </w:rPr>
              <w:t>病案导出：支持自定义每个</w:t>
            </w:r>
            <w:r>
              <w:rPr>
                <w:rFonts w:ascii="宋体" w:hAnsi="宋体" w:eastAsia="宋体" w:cs="Times New Roman"/>
                <w:kern w:val="0"/>
                <w:szCs w:val="21"/>
              </w:rPr>
              <w:t>DRG分组的绩效权重，支持每个病案RW权重的导出。</w:t>
            </w:r>
          </w:p>
          <w:p>
            <w:pPr>
              <w:rPr>
                <w:rFonts w:ascii="宋体" w:hAnsi="宋体" w:eastAsia="宋体" w:cs="Times New Roman"/>
                <w:kern w:val="0"/>
                <w:szCs w:val="21"/>
              </w:rPr>
            </w:pPr>
            <w:r>
              <w:rPr>
                <w:rFonts w:ascii="宋体" w:hAnsi="宋体" w:eastAsia="宋体" w:cs="Times New Roman"/>
                <w:kern w:val="0"/>
                <w:szCs w:val="21"/>
              </w:rPr>
              <w:t>10、工作台</w:t>
            </w:r>
          </w:p>
          <w:p>
            <w:pPr>
              <w:rPr>
                <w:rFonts w:ascii="宋体" w:hAnsi="宋体" w:eastAsia="宋体" w:cs="Times New Roman"/>
                <w:kern w:val="0"/>
                <w:szCs w:val="21"/>
              </w:rPr>
            </w:pPr>
            <w:r>
              <w:rPr>
                <w:rFonts w:hint="eastAsia" w:ascii="宋体" w:hAnsi="宋体" w:eastAsia="宋体" w:cs="Times New Roman"/>
                <w:kern w:val="0"/>
                <w:szCs w:val="21"/>
              </w:rPr>
              <w:t>员工可在绩效平台查看本人绩效考核信息；特殊人员可查询特定权限的绩效内容信息。</w:t>
            </w:r>
          </w:p>
          <w:p>
            <w:pPr>
              <w:rPr>
                <w:rFonts w:ascii="宋体" w:hAnsi="宋体" w:eastAsia="宋体" w:cs="Times New Roman"/>
                <w:kern w:val="0"/>
                <w:szCs w:val="21"/>
              </w:rPr>
            </w:pPr>
            <w:r>
              <w:rPr>
                <w:rFonts w:hint="eastAsia" w:ascii="宋体" w:hAnsi="宋体" w:eastAsia="宋体" w:cs="Times New Roman"/>
                <w:kern w:val="0"/>
                <w:szCs w:val="21"/>
              </w:rPr>
              <w:t>主诊组长可查看本组下所有人考核详细、汇总信息及相同专业不同主诊组的绩效汇总信息。</w:t>
            </w:r>
          </w:p>
          <w:p>
            <w:pPr>
              <w:rPr>
                <w:rFonts w:ascii="宋体" w:hAnsi="宋体" w:eastAsia="宋体" w:cs="Times New Roman"/>
                <w:kern w:val="0"/>
                <w:szCs w:val="21"/>
              </w:rPr>
            </w:pPr>
            <w:r>
              <w:rPr>
                <w:rFonts w:hint="eastAsia" w:ascii="宋体" w:hAnsi="宋体" w:eastAsia="宋体" w:cs="Times New Roman"/>
                <w:kern w:val="0"/>
                <w:szCs w:val="21"/>
              </w:rPr>
              <w:t>科室主任可查看本科室下所有人考核详细、汇总信息及相同专业不同科室的绩效汇总信息。</w:t>
            </w:r>
          </w:p>
          <w:p>
            <w:pPr>
              <w:rPr>
                <w:rFonts w:ascii="宋体" w:hAnsi="宋体" w:eastAsia="宋体" w:cs="Times New Roman"/>
                <w:kern w:val="0"/>
                <w:szCs w:val="21"/>
              </w:rPr>
            </w:pPr>
            <w:r>
              <w:rPr>
                <w:rFonts w:ascii="宋体" w:hAnsi="宋体" w:eastAsia="宋体" w:cs="Times New Roman"/>
                <w:kern w:val="0"/>
                <w:szCs w:val="21"/>
              </w:rPr>
              <w:t>11、数据统计</w:t>
            </w:r>
          </w:p>
          <w:p>
            <w:pPr>
              <w:rPr>
                <w:rFonts w:ascii="宋体" w:hAnsi="宋体" w:eastAsia="宋体" w:cs="Times New Roman"/>
                <w:kern w:val="0"/>
                <w:szCs w:val="21"/>
              </w:rPr>
            </w:pPr>
            <w:r>
              <w:rPr>
                <w:rFonts w:hint="eastAsia" w:ascii="宋体" w:hAnsi="宋体" w:eastAsia="宋体" w:cs="Times New Roman"/>
                <w:kern w:val="0"/>
                <w:szCs w:val="21"/>
              </w:rPr>
              <w:t>1</w:t>
            </w:r>
            <w:r>
              <w:rPr>
                <w:rFonts w:ascii="宋体" w:hAnsi="宋体" w:eastAsia="宋体" w:cs="Times New Roman"/>
                <w:kern w:val="0"/>
                <w:szCs w:val="21"/>
              </w:rPr>
              <w:t>.</w:t>
            </w:r>
            <w:r>
              <w:rPr>
                <w:rFonts w:hint="eastAsia" w:ascii="宋体" w:hAnsi="宋体" w:eastAsia="宋体" w:cs="Times New Roman"/>
                <w:kern w:val="0"/>
                <w:szCs w:val="21"/>
              </w:rPr>
              <w:t>根据系统计算的绩效、质控及奖罚情况、收入及支出，从核算单元（医疗组）、各级科室、医院等多个层面，和环比、同比等多种方式对医院的绩效数据进行统计、对比、分析；根据不同角色展示不同的运维数据，为各领导层决策提供参考分析数据。</w:t>
            </w:r>
          </w:p>
          <w:p>
            <w:pPr>
              <w:rPr>
                <w:rFonts w:ascii="宋体" w:hAnsi="宋体" w:eastAsia="宋体" w:cs="Times New Roman"/>
                <w:kern w:val="0"/>
                <w:szCs w:val="21"/>
              </w:rPr>
            </w:pPr>
            <w:r>
              <w:rPr>
                <w:rFonts w:ascii="宋体" w:hAnsi="宋体" w:eastAsia="宋体" w:cs="Times New Roman"/>
                <w:kern w:val="0"/>
                <w:szCs w:val="21"/>
              </w:rPr>
              <w:t>2.根据《2022年国家级公立中医医院绩效考核手册》内容，具备环比、同比等多种方式统计医院“国考”指标，以及相关指标分解至对应归口科室的完成情况内容。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144"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竞标报价为全包价，以人民币为结算单位，包括本项目所有系统开发、</w:t>
            </w:r>
            <w:r>
              <w:rPr>
                <w:rFonts w:hint="eastAsia" w:ascii="Calibri" w:hAnsi="宋体" w:eastAsia="宋体" w:cs="Times New Roman"/>
                <w:kern w:val="0"/>
                <w:szCs w:val="21"/>
              </w:rPr>
              <w:t>软件购置费、</w:t>
            </w:r>
            <w:r>
              <w:rPr>
                <w:rFonts w:hint="eastAsia" w:ascii="宋体" w:hAnsi="宋体" w:eastAsia="宋体" w:cs="宋体"/>
                <w:bCs/>
                <w:szCs w:val="21"/>
              </w:rPr>
              <w:t>修改、完善、升级等，安装调试、验收、培训、售后服务、伴随的服务及各种税费等全部费用。在合同实施时，采购人将不予支付成交供应商没有列入的项目费用，并认为此项目的费用已包括在总报价中。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180</w:t>
            </w:r>
            <w:r>
              <w:rPr>
                <w:rFonts w:hint="eastAsia" w:ascii="Calibri" w:hAnsi="Calibri" w:eastAsia="宋体" w:cs="Times New Roman"/>
                <w:szCs w:val="24"/>
              </w:rPr>
              <w:t>日</w:t>
            </w:r>
            <w:r>
              <w:rPr>
                <w:rFonts w:hint="eastAsia" w:ascii="宋体" w:hAnsi="宋体" w:eastAsia="宋体" w:cs="Times New Roman"/>
                <w:color w:val="000000"/>
                <w:szCs w:val="21"/>
              </w:rPr>
              <w:t>内完成项目且达到竣工验收标准。</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ind w:firstLine="33" w:firstLineChars="16"/>
              <w:rPr>
                <w:rFonts w:ascii="宋体" w:hAnsi="宋体" w:eastAsia="宋体" w:cs="宋体"/>
                <w:bCs/>
                <w:szCs w:val="21"/>
              </w:rPr>
            </w:pPr>
            <w:r>
              <w:rPr>
                <w:rFonts w:hint="eastAsia" w:ascii="宋体" w:hAnsi="宋体" w:eastAsia="宋体" w:cs="宋体"/>
                <w:bCs/>
                <w:szCs w:val="21"/>
              </w:rPr>
              <w:t>1.质保期内，免费进行软件修改、完善和升级。如系统设计存在重大缺陷，导致无法运行或效率低下，须对系统进行结构性调整开发至满足使用要求；质保期未完成修改、完善和升级开发的，质保期相应顺延。</w:t>
            </w:r>
          </w:p>
          <w:p>
            <w:pPr>
              <w:spacing w:line="320" w:lineRule="exact"/>
              <w:ind w:firstLine="33" w:firstLineChars="16"/>
              <w:rPr>
                <w:rFonts w:ascii="宋体" w:hAnsi="宋体" w:eastAsia="宋体" w:cs="宋体"/>
                <w:bCs/>
                <w:szCs w:val="21"/>
              </w:rPr>
            </w:pPr>
            <w:r>
              <w:rPr>
                <w:rFonts w:hint="eastAsia" w:ascii="宋体" w:hAnsi="宋体" w:eastAsia="宋体" w:cs="宋体"/>
                <w:bCs/>
                <w:szCs w:val="21"/>
              </w:rPr>
              <w:t>2.服务期限内第三方因其它信息系统建设需进行数据交换时免费提供接口开发服务，并提供详细使用说明。</w:t>
            </w:r>
          </w:p>
          <w:p>
            <w:pPr>
              <w:spacing w:line="320" w:lineRule="exact"/>
              <w:ind w:firstLine="33" w:firstLineChars="16"/>
              <w:rPr>
                <w:rFonts w:ascii="宋体" w:hAnsi="宋体" w:eastAsia="宋体" w:cs="Times New Roman"/>
              </w:rPr>
            </w:pPr>
            <w:r>
              <w:rPr>
                <w:rFonts w:hint="eastAsia" w:ascii="宋体" w:hAnsi="宋体" w:eastAsia="宋体" w:cs="宋体"/>
                <w:bCs/>
                <w:szCs w:val="21"/>
              </w:rPr>
              <w:t>3.</w:t>
            </w:r>
            <w:r>
              <w:rPr>
                <w:rFonts w:hint="eastAsia" w:ascii="宋体" w:hAnsi="宋体" w:eastAsia="宋体" w:cs="Times New Roman"/>
              </w:rPr>
              <w:t>免费维护和技术支持的范围为：</w:t>
            </w:r>
          </w:p>
          <w:p>
            <w:pPr>
              <w:spacing w:line="320" w:lineRule="exact"/>
              <w:ind w:firstLine="33" w:firstLineChars="16"/>
              <w:rPr>
                <w:rFonts w:ascii="宋体" w:hAnsi="宋体" w:eastAsia="宋体" w:cs="Times New Roman"/>
              </w:rPr>
            </w:pPr>
            <w:r>
              <w:rPr>
                <w:rFonts w:hint="eastAsia" w:ascii="宋体" w:hAnsi="宋体" w:eastAsia="宋体" w:cs="Times New Roman"/>
              </w:rPr>
              <w:t>（1）软件系统功能、操作等级别问题的技术支持服务。</w:t>
            </w:r>
          </w:p>
          <w:p>
            <w:pPr>
              <w:spacing w:line="320" w:lineRule="exact"/>
              <w:ind w:firstLine="33" w:firstLineChars="16"/>
              <w:rPr>
                <w:rFonts w:ascii="宋体" w:hAnsi="宋体" w:eastAsia="宋体" w:cs="Times New Roman"/>
              </w:rPr>
            </w:pPr>
            <w:r>
              <w:rPr>
                <w:rFonts w:hint="eastAsia" w:ascii="宋体" w:hAnsi="宋体" w:eastAsia="宋体" w:cs="Times New Roman"/>
              </w:rPr>
              <w:t>（2）软件系统本身的缺陷而引起的问题。</w:t>
            </w:r>
          </w:p>
          <w:p>
            <w:pPr>
              <w:spacing w:line="320" w:lineRule="exact"/>
              <w:ind w:firstLine="33" w:firstLineChars="16"/>
              <w:rPr>
                <w:rFonts w:ascii="宋体" w:hAnsi="宋体" w:eastAsia="宋体" w:cs="Times New Roman"/>
              </w:rPr>
            </w:pPr>
            <w:r>
              <w:rPr>
                <w:rFonts w:hint="eastAsia" w:ascii="宋体" w:hAnsi="宋体" w:eastAsia="宋体" w:cs="Times New Roman"/>
              </w:rPr>
              <w:t>（3）采购人需成交供应商协助解决的其他问题，双方可协商解决。质保期满后产品的正常维护、功能性改善升级、产品bug修复等常规问题解决免费，同功能模块跨版本升级费用需提供具体的功能改善、新增说明并提供报价清单，双方另行协商。</w:t>
            </w:r>
          </w:p>
          <w:p>
            <w:pPr>
              <w:spacing w:line="320" w:lineRule="exact"/>
              <w:ind w:firstLine="33" w:firstLineChars="16"/>
              <w:rPr>
                <w:rFonts w:ascii="宋体" w:hAnsi="宋体" w:eastAsia="宋体" w:cs="Times New Roman"/>
              </w:rPr>
            </w:pPr>
            <w:r>
              <w:rPr>
                <w:rFonts w:hint="eastAsia" w:ascii="宋体" w:hAnsi="宋体" w:eastAsia="宋体" w:cs="宋体"/>
                <w:bCs/>
                <w:szCs w:val="21"/>
              </w:rPr>
              <w:t>4.故障响应时间：</w:t>
            </w:r>
            <w:r>
              <w:rPr>
                <w:rFonts w:hint="eastAsia" w:ascii="宋体" w:hAnsi="宋体" w:eastAsia="宋体" w:cs="Times New Roman"/>
              </w:rPr>
              <w:t>提供7*24小时的实时故障响应。供应商在接到故障报修要求时，应在</w:t>
            </w:r>
            <w:r>
              <w:rPr>
                <w:rFonts w:ascii="宋体" w:hAnsi="宋体" w:eastAsia="宋体" w:cs="Times New Roman"/>
              </w:rPr>
              <w:t>1小时内做出明确响应和安排，在2小时内为</w:t>
            </w:r>
            <w:r>
              <w:rPr>
                <w:rFonts w:hint="eastAsia" w:ascii="宋体" w:hAnsi="宋体" w:eastAsia="宋体" w:cs="Times New Roman"/>
              </w:rPr>
              <w:t>采购</w:t>
            </w:r>
            <w:r>
              <w:rPr>
                <w:rFonts w:ascii="宋体" w:hAnsi="宋体" w:eastAsia="宋体" w:cs="Times New Roman"/>
              </w:rPr>
              <w:t>人提供维修服务，并做出故障诊断报告。若需要现场服务才能解决问题，应</w:t>
            </w:r>
            <w:r>
              <w:rPr>
                <w:rFonts w:hint="eastAsia" w:ascii="宋体" w:hAnsi="宋体" w:eastAsia="宋体" w:cs="Times New Roman"/>
              </w:rPr>
              <w:t>指派</w:t>
            </w:r>
            <w:r>
              <w:rPr>
                <w:rFonts w:ascii="宋体" w:hAnsi="宋体" w:eastAsia="宋体" w:cs="Times New Roman"/>
              </w:rPr>
              <w:t>1名以上技术人员在6小时内到达现场</w:t>
            </w:r>
            <w:r>
              <w:rPr>
                <w:rFonts w:hint="eastAsia" w:ascii="宋体" w:hAnsi="宋体" w:eastAsia="宋体" w:cs="Times New Roman"/>
              </w:rPr>
              <w:t>，及时排查故障恢复运行。供应商应提供24小时技术支持咨询服务。</w:t>
            </w:r>
          </w:p>
          <w:p>
            <w:pPr>
              <w:spacing w:line="320" w:lineRule="exact"/>
              <w:ind w:firstLine="33" w:firstLineChars="16"/>
              <w:rPr>
                <w:rFonts w:ascii="Calibri" w:hAnsi="Calibri" w:eastAsia="宋体" w:cs="宋体"/>
                <w:bCs/>
                <w:szCs w:val="21"/>
              </w:rPr>
            </w:pPr>
            <w:r>
              <w:rPr>
                <w:rFonts w:hint="eastAsia" w:ascii="宋体" w:hAnsi="宋体" w:eastAsia="宋体" w:cs="Times New Roman"/>
              </w:rPr>
              <w:t>5</w:t>
            </w:r>
            <w:r>
              <w:rPr>
                <w:rFonts w:ascii="宋体" w:hAnsi="宋体" w:eastAsia="宋体" w:cs="Times New Roman"/>
              </w:rPr>
              <w:t>.</w:t>
            </w:r>
            <w:r>
              <w:rPr>
                <w:rFonts w:hint="eastAsia" w:ascii="宋体" w:hAnsi="宋体" w:eastAsia="宋体" w:cs="Times New Roman"/>
              </w:rPr>
              <w:t>定期跟踪。供应商应提供每</w:t>
            </w:r>
            <w:r>
              <w:rPr>
                <w:rFonts w:ascii="宋体" w:hAnsi="宋体" w:eastAsia="宋体" w:cs="Times New Roman"/>
              </w:rPr>
              <w:t>3个月不少于1次现场巡检服务，及时发现和排除潜在问题或故障隐患，保证平台的稳定运行。</w:t>
            </w:r>
          </w:p>
          <w:p>
            <w:pPr>
              <w:spacing w:line="320" w:lineRule="exact"/>
              <w:ind w:firstLine="33" w:firstLineChars="16"/>
              <w:rPr>
                <w:rFonts w:ascii="宋体" w:hAnsi="宋体" w:eastAsia="宋体" w:cs="宋体"/>
                <w:bCs/>
                <w:szCs w:val="21"/>
              </w:rPr>
            </w:pPr>
            <w:r>
              <w:rPr>
                <w:rFonts w:ascii="宋体" w:hAnsi="宋体" w:eastAsia="宋体" w:cs="Times New Roman"/>
                <w:szCs w:val="21"/>
              </w:rPr>
              <w:t>6</w:t>
            </w:r>
            <w:r>
              <w:rPr>
                <w:rFonts w:hint="eastAsia" w:ascii="宋体" w:hAnsi="宋体" w:eastAsia="宋体" w:cs="Times New Roman"/>
                <w:szCs w:val="21"/>
              </w:rPr>
              <w:t>.成交供应商必须严格遵守采购人各项管理规定，在任何情况下，禁止复制、传播、引用及非开发需要查询所接触到的采购人各类业务数据、工作要求和工作措施等信息，未经授权禁止向采购人主管部门以外的单位和个人演示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达到本招标文件要求的业务处理能力、系统满足功能要求和相应的技术规范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color w:val="auto"/>
                <w:szCs w:val="21"/>
              </w:rPr>
              <w:t>国家质量标准的验收规定</w:t>
            </w:r>
            <w:r>
              <w:rPr>
                <w:rFonts w:hint="eastAsia" w:ascii="宋体" w:hAnsi="宋体" w:eastAsia="宋体" w:cs="Times New Roman"/>
                <w:color w:val="000000"/>
                <w:szCs w:val="21"/>
              </w:rPr>
              <w:t>。</w:t>
            </w:r>
          </w:p>
          <w:p>
            <w:pPr>
              <w:spacing w:line="320" w:lineRule="exact"/>
              <w:rPr>
                <w:rFonts w:ascii="Calibri" w:hAnsi="Calibri" w:eastAsia="宋体" w:cs="Times New Roman"/>
                <w:szCs w:val="24"/>
              </w:rPr>
            </w:pPr>
            <w:r>
              <w:rPr>
                <w:rFonts w:hint="eastAsia" w:ascii="宋体" w:hAnsi="宋体" w:eastAsia="宋体" w:cs="Times New Roman"/>
                <w:color w:val="000000"/>
                <w:szCs w:val="21"/>
              </w:rPr>
              <w:t>2.</w:t>
            </w:r>
            <w:r>
              <w:rPr>
                <w:rFonts w:ascii="宋体" w:hAnsi="宋体" w:eastAsia="宋体" w:cs="Times New Roman"/>
                <w:color w:val="000000"/>
                <w:szCs w:val="21"/>
              </w:rPr>
              <w:t>绩效方案验收：以通过院</w:t>
            </w:r>
            <w:r>
              <w:rPr>
                <w:rFonts w:hint="eastAsia" w:ascii="宋体" w:hAnsi="宋体" w:eastAsia="宋体" w:cs="Times New Roman"/>
                <w:color w:val="000000"/>
                <w:szCs w:val="21"/>
              </w:rPr>
              <w:t>长</w:t>
            </w:r>
            <w:r>
              <w:rPr>
                <w:rFonts w:ascii="宋体" w:hAnsi="宋体" w:eastAsia="宋体" w:cs="Times New Roman"/>
                <w:color w:val="000000"/>
                <w:szCs w:val="21"/>
              </w:rPr>
              <w:t>办公会或通过院职代会视为方案验收通过</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ascii="Calibri" w:hAnsi="Calibri" w:eastAsia="宋体" w:cs="Times New Roman"/>
                <w:szCs w:val="24"/>
              </w:rPr>
              <w:t>3.</w:t>
            </w:r>
            <w:r>
              <w:t xml:space="preserve"> </w:t>
            </w:r>
            <w:r>
              <w:rPr>
                <w:rFonts w:ascii="Calibri" w:hAnsi="Calibri" w:eastAsia="宋体" w:cs="Times New Roman"/>
                <w:szCs w:val="24"/>
              </w:rPr>
              <w:t>绩效软件验收：以绩效核算部门的使用认可</w:t>
            </w:r>
            <w:r>
              <w:rPr>
                <w:rFonts w:hint="eastAsia" w:ascii="Calibri" w:hAnsi="Calibri" w:eastAsia="宋体" w:cs="Times New Roman"/>
                <w:szCs w:val="24"/>
              </w:rPr>
              <w:t>，验收小组签字验收合格</w:t>
            </w:r>
            <w:r>
              <w:rPr>
                <w:rFonts w:ascii="Calibri" w:hAnsi="Calibri" w:eastAsia="宋体" w:cs="Times New Roman"/>
                <w:szCs w:val="24"/>
              </w:rPr>
              <w:t>视为软件验收通过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yellow"/>
              </w:rPr>
            </w:pPr>
            <w:r>
              <w:rPr>
                <w:rFonts w:hint="eastAsia" w:ascii="Calibri" w:hAnsi="Calibri" w:eastAsia="宋体" w:cs="Times New Roman"/>
                <w:szCs w:val="24"/>
              </w:rPr>
              <w:t>付款条件</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Times New Roman"/>
              </w:rPr>
            </w:pPr>
            <w:r>
              <w:rPr>
                <w:rFonts w:ascii="宋体" w:hAnsi="宋体" w:eastAsia="宋体" w:cs="Times New Roman"/>
              </w:rPr>
              <w:t>1</w:t>
            </w:r>
            <w:r>
              <w:rPr>
                <w:rFonts w:hint="eastAsia" w:ascii="宋体" w:hAnsi="宋体" w:eastAsia="宋体" w:cs="Times New Roman"/>
              </w:rPr>
              <w:t>.合同签订后10个工作日内采购人向成交供应商预付合同金额的50%作为前期开发经费，同时成交供应商向采购人开具等额发票。</w:t>
            </w:r>
          </w:p>
          <w:p>
            <w:pPr>
              <w:spacing w:line="320" w:lineRule="exact"/>
              <w:jc w:val="left"/>
              <w:rPr>
                <w:rFonts w:ascii="宋体" w:hAnsi="宋体" w:eastAsia="宋体" w:cs="Times New Roman"/>
              </w:rPr>
            </w:pPr>
            <w:r>
              <w:rPr>
                <w:rFonts w:ascii="宋体" w:hAnsi="宋体" w:eastAsia="宋体" w:cs="Times New Roman"/>
              </w:rPr>
              <w:t>2.</w:t>
            </w:r>
            <w:r>
              <w:rPr>
                <w:rFonts w:hint="eastAsia" w:ascii="宋体" w:hAnsi="宋体" w:eastAsia="宋体" w:cs="Times New Roman"/>
              </w:rPr>
              <w:t>采用绩效方案完成第一个月绩效数据发放、经医院确认后</w:t>
            </w:r>
            <w:r>
              <w:rPr>
                <w:rFonts w:ascii="宋体" w:hAnsi="宋体" w:eastAsia="宋体" w:cs="Times New Roman"/>
              </w:rPr>
              <w:t>10日内付款30%</w:t>
            </w:r>
            <w:r>
              <w:rPr>
                <w:rFonts w:hint="eastAsia" w:ascii="宋体" w:hAnsi="宋体" w:eastAsia="宋体" w:cs="Times New Roman"/>
              </w:rPr>
              <w:t>，同时成交供应商向采购人开具等额发票。</w:t>
            </w:r>
          </w:p>
          <w:p>
            <w:pPr>
              <w:spacing w:line="320" w:lineRule="exact"/>
              <w:jc w:val="left"/>
              <w:rPr>
                <w:rFonts w:ascii="Calibri" w:hAnsi="Calibri" w:eastAsia="宋体" w:cs="Times New Roman"/>
                <w:color w:val="000000"/>
                <w:szCs w:val="24"/>
              </w:rPr>
            </w:pPr>
            <w:r>
              <w:rPr>
                <w:rFonts w:hint="eastAsia" w:ascii="宋体" w:hAnsi="宋体" w:eastAsia="宋体" w:cs="Times New Roman"/>
              </w:rPr>
              <w:t>3</w:t>
            </w:r>
            <w:r>
              <w:rPr>
                <w:rFonts w:ascii="宋体" w:hAnsi="宋体" w:eastAsia="宋体" w:cs="Times New Roman"/>
              </w:rPr>
              <w:t>.</w:t>
            </w:r>
            <w:r>
              <w:rPr>
                <w:rFonts w:hint="eastAsia" w:ascii="宋体" w:hAnsi="宋体" w:eastAsia="宋体" w:cs="Times New Roman"/>
              </w:rPr>
              <w:t>采用绩效方案完成三个月绩效数据发放、绩效软件上线并验收合格后</w:t>
            </w:r>
            <w:r>
              <w:rPr>
                <w:rFonts w:ascii="宋体" w:hAnsi="宋体" w:eastAsia="宋体" w:cs="Times New Roman"/>
              </w:rPr>
              <w:t>10日内付款20%</w:t>
            </w:r>
            <w:r>
              <w:rPr>
                <w:rFonts w:hint="eastAsia" w:ascii="宋体" w:hAnsi="宋体" w:eastAsia="宋体" w:cs="Times New Roman"/>
              </w:rPr>
              <w:t>，同时成交供应商向采购人开具等额发票。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Cs/>
                <w:szCs w:val="21"/>
                <w:highlight w:val="yellow"/>
              </w:rPr>
            </w:pPr>
            <w:r>
              <w:rPr>
                <w:rFonts w:hint="eastAsia" w:ascii="Calibri" w:hAnsi="Calibri" w:eastAsia="宋体" w:cs="Times New Roman"/>
                <w:szCs w:val="24"/>
              </w:rPr>
              <w:t>保密要求</w:t>
            </w:r>
          </w:p>
        </w:tc>
        <w:tc>
          <w:tcPr>
            <w:tcW w:w="701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宋体"/>
                <w:bCs/>
                <w:szCs w:val="21"/>
              </w:rPr>
            </w:pPr>
            <w:r>
              <w:rPr>
                <w:rFonts w:hint="eastAsia" w:ascii="宋体" w:hAnsi="宋体" w:eastAsia="宋体" w:cs="宋体"/>
                <w:bCs/>
                <w:szCs w:val="21"/>
              </w:rPr>
              <w:t>成交供应商在进行开发过程中，需要了解或知悉采购方的相关业务信息，为确保采购人业务信息的安全，成交供应商必须对本项目所有项目信息予以保密，未经采购人书面许可，成交供应商不得以任何形式向第三方透露本项目的任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并将详细的培训课程以及时间表交给采购人，培训结果最后以采购人认可为准。培训采购人工作人员学习和使用新方案，重点做好针对培训对象的不同进行培训内容的选择，免费培训对象包括操作员、技术人员、管理人员、维护人员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操作员培训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供应商针对操作员进行全员培训，提供详细的培训计划，包括培训课程内容（以操作为主）、培训制度、培训考核办法等。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ascii="宋体" w:hAnsi="宋体" w:eastAsia="宋体" w:cs="宋体"/>
                <w:color w:val="000000"/>
                <w:szCs w:val="21"/>
              </w:rPr>
              <w:t>技术人员培训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（1）供应商应负责采购人技术人员的培训，提供详细的培训计划，并对参加培训的技术人员提出基本要求；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（2）培训内容应包括系统管理、维护，数据库及其他软件等。</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3</w:t>
            </w:r>
            <w:r>
              <w:rPr>
                <w:rFonts w:ascii="宋体" w:hAnsi="宋体" w:eastAsia="宋体" w:cs="宋体"/>
                <w:color w:val="000000"/>
                <w:szCs w:val="21"/>
              </w:rPr>
              <w:t>.</w:t>
            </w:r>
            <w:r>
              <w:rPr>
                <w:rFonts w:hint="eastAsia" w:ascii="宋体" w:hAnsi="宋体" w:eastAsia="宋体" w:cs="宋体"/>
                <w:color w:val="000000"/>
                <w:szCs w:val="21"/>
              </w:rPr>
              <w:t>管理人员培训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（1）供应商应负责采购人管理人员的培训，提供详细的培训计划，并对参加培训的人员提出基本要求；</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（2）培训内容应包括系统流程和相关管理理念。</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w:t>
            </w:r>
            <w:r>
              <w:rPr>
                <w:rFonts w:ascii="宋体" w:hAnsi="宋体" w:eastAsia="宋体" w:cs="宋体"/>
                <w:color w:val="000000"/>
                <w:szCs w:val="21"/>
              </w:rPr>
              <w:t>.</w:t>
            </w:r>
            <w:r>
              <w:rPr>
                <w:rFonts w:hint="eastAsia" w:ascii="宋体" w:hAnsi="宋体" w:eastAsia="宋体" w:cs="宋体"/>
                <w:color w:val="000000"/>
                <w:szCs w:val="21"/>
              </w:rPr>
              <w:t>维护人员培训</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系统试运行期间，供应商负责为采购人免费培训系统维护人员，通过培训，使维护人员能熟练规范的进行操作，对一般故障能进行处理和日常维护。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701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w:t>
            </w:r>
            <w:r>
              <w:rPr>
                <w:rFonts w:hint="eastAsia" w:ascii="宋体" w:hAnsi="宋体" w:eastAsia="宋体" w:cs="宋体"/>
                <w:color w:val="000000"/>
                <w:szCs w:val="21"/>
              </w:rPr>
              <w:t>供应商需提供完整的实施方案，包含具体的实施进度和人员安排，保证整个项目建设的连续性。</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w:t>
            </w:r>
            <w:r>
              <w:rPr>
                <w:rFonts w:hint="eastAsia"/>
              </w:rPr>
              <w:t xml:space="preserve"> </w:t>
            </w:r>
            <w:r>
              <w:rPr>
                <w:rFonts w:hint="eastAsia" w:ascii="宋体" w:hAnsi="宋体" w:eastAsia="宋体" w:cs="宋体"/>
                <w:color w:val="000000"/>
                <w:szCs w:val="21"/>
              </w:rPr>
              <w:t>合同签订后</w:t>
            </w:r>
            <w:r>
              <w:rPr>
                <w:rFonts w:ascii="宋体" w:hAnsi="宋体" w:eastAsia="宋体" w:cs="宋体"/>
                <w:color w:val="000000"/>
                <w:szCs w:val="21"/>
              </w:rPr>
              <w:t>4个月内在科室试点运行，6个月内完成全部项目实施工作</w:t>
            </w:r>
            <w:r>
              <w:rPr>
                <w:rFonts w:hint="eastAsia" w:ascii="宋体" w:hAnsi="宋体" w:eastAsia="宋体" w:cs="宋体"/>
                <w:color w:val="000000"/>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评审依据：磋商小组将以磋商响应文件为评审依据，对供应商的报价、技术、商务等方面内容按百分制打分。（计分方法按四舍五入取至百分位）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spacing w:line="400" w:lineRule="exact"/>
              <w:rPr>
                <w:rFonts w:ascii="宋体" w:hAnsi="宋体" w:eastAsia="宋体" w:cs="Calibri"/>
                <w:color w:val="000000"/>
                <w:szCs w:val="21"/>
              </w:rPr>
            </w:pPr>
            <w:r>
              <w:rPr>
                <w:rFonts w:hint="eastAsia" w:ascii="宋体" w:hAnsi="宋体" w:eastAsia="宋体" w:cs="Courier New"/>
                <w:bCs/>
                <w:color w:val="000000"/>
                <w:szCs w:val="21"/>
              </w:rPr>
              <w:t>1.</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宋体" w:hAnsi="宋体" w:eastAsia="宋体" w:cs="宋体"/>
                <w:color w:val="000000"/>
                <w:kern w:val="0"/>
                <w:szCs w:val="21"/>
              </w:rPr>
            </w:pPr>
            <w:r>
              <w:rPr>
                <w:rFonts w:hint="eastAsia" w:ascii="宋体" w:hAnsi="宋体" w:eastAsia="宋体" w:cs="Courier New"/>
                <w:bCs/>
                <w:color w:val="000000"/>
                <w:szCs w:val="21"/>
              </w:rPr>
              <w:t>2.政府采购政策性扣除计算方法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按照《政府采购促进中小企业发展暂行办法》（财库〔2011〕181号）的规定，供应商为小型和微型企业，并在其响应文件中提供《中小企业声明函》，且其所竞标产品全部为小型和微型企业产品的，对其最后报价给予6%的扣除。</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（4）政策性扣除计算方法。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pPr>
              <w:snapToGrid w:val="0"/>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（5）除上述情况外，评审价＝最后报价。</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（6）以进入比较与评价环节的最低的评审价为基准价，基准价得分为</w:t>
            </w:r>
            <w:r>
              <w:rPr>
                <w:rFonts w:hint="eastAsia" w:ascii="宋体" w:hAnsi="宋体" w:eastAsia="宋体" w:cs="Courier New"/>
                <w:bCs/>
                <w:color w:val="000000"/>
                <w:szCs w:val="21"/>
                <w:u w:val="single"/>
              </w:rPr>
              <w:t xml:space="preserve"> </w:t>
            </w:r>
            <w:r>
              <w:rPr>
                <w:rFonts w:ascii="宋体" w:hAnsi="宋体" w:eastAsia="宋体" w:cs="Courier New"/>
                <w:bCs/>
                <w:color w:val="000000"/>
                <w:szCs w:val="21"/>
                <w:u w:val="single"/>
              </w:rPr>
              <w:t>30</w:t>
            </w:r>
            <w:r>
              <w:rPr>
                <w:rFonts w:hint="eastAsia" w:ascii="宋体" w:hAnsi="宋体" w:eastAsia="宋体" w:cs="Courier New"/>
                <w:bCs/>
                <w:color w:val="000000"/>
                <w:szCs w:val="21"/>
                <w:u w:val="single"/>
              </w:rPr>
              <w:t>分</w:t>
            </w:r>
            <w:r>
              <w:rPr>
                <w:rFonts w:hint="eastAsia" w:ascii="宋体" w:hAnsi="宋体" w:eastAsia="宋体" w:cs="Courier New"/>
                <w:bCs/>
                <w:color w:val="000000"/>
                <w:szCs w:val="21"/>
              </w:rPr>
              <w:t>。</w:t>
            </w:r>
          </w:p>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（7）价格分计算公式：</w:t>
            </w:r>
          </w:p>
          <w:p>
            <w:pPr>
              <w:ind w:firstLine="420" w:firstLineChars="200"/>
              <w:rPr>
                <w:rFonts w:ascii="Calibri" w:hAnsi="Calibri" w:eastAsia="宋体" w:cs="Calibri"/>
                <w:szCs w:val="21"/>
              </w:rPr>
            </w:pPr>
            <w:r>
              <w:rPr>
                <w:rFonts w:hint="eastAsia" w:ascii="宋体" w:hAnsi="宋体" w:eastAsia="宋体" w:cs="Courier New"/>
                <w:bCs/>
                <w:color w:val="000000"/>
                <w:szCs w:val="21"/>
              </w:rPr>
              <w:t>报价得分</w:t>
            </w:r>
            <w:r>
              <w:rPr>
                <w:rFonts w:hint="eastAsia" w:ascii="Calibri" w:hAnsi="Calibri" w:eastAsia="宋体" w:cs="Calibri"/>
                <w:bCs/>
                <w:color w:val="000000"/>
                <w:szCs w:val="21"/>
              </w:rPr>
              <w:t>=</w:t>
            </w:r>
            <w:r>
              <w:rPr>
                <w:rFonts w:hint="eastAsia" w:ascii="宋体" w:hAnsi="宋体" w:eastAsia="宋体" w:cs="Courier New"/>
                <w:bCs/>
                <w:color w:val="000000"/>
                <w:szCs w:val="21"/>
              </w:rPr>
              <w:t>（基准价</w:t>
            </w:r>
            <w:r>
              <w:rPr>
                <w:rFonts w:hint="eastAsia" w:ascii="Calibri" w:hAnsi="Calibri" w:eastAsia="宋体" w:cs="Calibri"/>
                <w:bCs/>
                <w:color w:val="000000"/>
                <w:szCs w:val="21"/>
              </w:rPr>
              <w:t>/</w:t>
            </w:r>
            <w:r>
              <w:rPr>
                <w:rFonts w:hint="eastAsia" w:ascii="宋体" w:hAnsi="宋体" w:eastAsia="宋体" w:cs="Courier New"/>
                <w:bCs/>
                <w:color w:val="000000"/>
                <w:szCs w:val="21"/>
              </w:rPr>
              <w:t>最后报价）×</w:t>
            </w:r>
            <w:r>
              <w:rPr>
                <w:rFonts w:ascii="Calibri" w:hAnsi="Calibri" w:eastAsia="宋体" w:cs="Calibri"/>
                <w:bCs/>
                <w:color w:val="000000"/>
                <w:szCs w:val="21"/>
                <w:u w:val="single"/>
              </w:rPr>
              <w:t>30</w:t>
            </w:r>
            <w:r>
              <w:rPr>
                <w:rFonts w:hint="eastAsia" w:ascii="宋体" w:hAnsi="宋体" w:eastAsia="宋体" w:cs="Courier New"/>
                <w:bCs/>
                <w:color w:val="000000"/>
                <w:szCs w:val="21"/>
                <w:u w:val="single"/>
              </w:rPr>
              <w:t>分</w:t>
            </w:r>
          </w:p>
        </w:tc>
        <w:tc>
          <w:tcPr>
            <w:tcW w:w="854" w:type="dxa"/>
            <w:vAlign w:val="center"/>
          </w:tcPr>
          <w:p>
            <w:pPr>
              <w:widowControl/>
              <w:spacing w:line="400" w:lineRule="exact"/>
              <w:jc w:val="left"/>
              <w:rPr>
                <w:rFonts w:ascii="宋体" w:hAnsi="宋体" w:eastAsia="宋体" w:cs="Tahoma"/>
                <w:color w:val="000000"/>
                <w:kern w:val="0"/>
                <w:szCs w:val="21"/>
              </w:rPr>
            </w:pPr>
            <w:r>
              <w:rPr>
                <w:rFonts w:hint="eastAsia" w:ascii="宋体" w:hAnsi="宋体" w:eastAsia="宋体" w:cs="Tahoma"/>
                <w:color w:val="000000"/>
                <w:kern w:val="0"/>
                <w:szCs w:val="21"/>
              </w:rPr>
              <w:t xml:space="preserve"> 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.1</w:t>
            </w:r>
          </w:p>
        </w:tc>
        <w:tc>
          <w:tcPr>
            <w:tcW w:w="1553" w:type="dxa"/>
            <w:vAlign w:val="center"/>
          </w:tcPr>
          <w:p>
            <w:pPr>
              <w:jc w:val="center"/>
              <w:rPr>
                <w:rFonts w:ascii="宋体" w:hAnsi="宋体" w:eastAsia="宋体" w:cs="Arial"/>
                <w:szCs w:val="21"/>
              </w:rPr>
            </w:pPr>
            <w:r>
              <w:rPr>
                <w:rFonts w:hint="eastAsia" w:ascii="宋体" w:hAnsi="宋体" w:eastAsia="宋体" w:cs="Times New Roman"/>
                <w:bCs/>
                <w:color w:val="000000"/>
                <w:szCs w:val="24"/>
              </w:rPr>
              <w:t>技术方案分</w:t>
            </w:r>
          </w:p>
        </w:tc>
        <w:tc>
          <w:tcPr>
            <w:tcW w:w="6309" w:type="dxa"/>
            <w:vAlign w:val="center"/>
          </w:tcPr>
          <w:p>
            <w:pPr>
              <w:spacing w:line="400" w:lineRule="exact"/>
              <w:rPr>
                <w:rFonts w:ascii="宋体" w:hAnsi="宋体" w:eastAsia="宋体" w:cs="Courier New"/>
                <w:bCs/>
                <w:color w:val="000000"/>
                <w:kern w:val="0"/>
                <w:szCs w:val="21"/>
              </w:rPr>
            </w:pPr>
            <w:r>
              <w:rPr>
                <w:rFonts w:ascii="宋体" w:hAnsi="宋体" w:eastAsia="宋体" w:cs="Courier New"/>
                <w:bCs/>
                <w:color w:val="000000"/>
                <w:kern w:val="0"/>
                <w:szCs w:val="21"/>
              </w:rPr>
              <w:t>2.1 方案设计（35分）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对供应商提供的服务方案进行评审，包含：</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①针对本项目的综合设计说明（含系统总体规划、设计理念、建设</w:t>
            </w:r>
            <w:r>
              <w:rPr>
                <w:rFonts w:ascii="宋体" w:hAnsi="宋体" w:eastAsia="宋体" w:cs="Courier New"/>
                <w:bCs/>
                <w:color w:val="000000"/>
                <w:kern w:val="0"/>
                <w:szCs w:val="21"/>
              </w:rPr>
              <w:t xml:space="preserve"> 目标等）；</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②提供外科室医生绩效考核方案设计，实现基于</w:t>
            </w:r>
            <w:r>
              <w:rPr>
                <w:rFonts w:ascii="宋体" w:hAnsi="宋体" w:eastAsia="宋体" w:cs="Courier New"/>
                <w:bCs/>
                <w:color w:val="000000"/>
                <w:kern w:val="0"/>
                <w:szCs w:val="21"/>
              </w:rPr>
              <w:t>RBRVS 理论的评价方法；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③提供内科室医生绩效考核方案，实现基于</w:t>
            </w:r>
            <w:r>
              <w:rPr>
                <w:rFonts w:ascii="宋体" w:hAnsi="宋体" w:eastAsia="宋体" w:cs="Courier New"/>
                <w:bCs/>
                <w:color w:val="000000"/>
                <w:kern w:val="0"/>
                <w:szCs w:val="21"/>
              </w:rPr>
              <w:t>DRGs理论的评价方法；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④提供护理岗位的绩效考核方案设计，实现基于岗位评价和工作量</w:t>
            </w:r>
            <w:r>
              <w:rPr>
                <w:rFonts w:ascii="宋体" w:hAnsi="宋体" w:eastAsia="宋体" w:cs="Courier New"/>
                <w:bCs/>
                <w:color w:val="000000"/>
                <w:kern w:val="0"/>
                <w:szCs w:val="21"/>
              </w:rPr>
              <w:t xml:space="preserve"> 评价的组合方法；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⑤提供医技岗位的绩效考核方案设计，实现基于工作量评价和效率</w:t>
            </w:r>
            <w:r>
              <w:rPr>
                <w:rFonts w:ascii="宋体" w:hAnsi="宋体" w:eastAsia="宋体" w:cs="Courier New"/>
                <w:bCs/>
                <w:color w:val="000000"/>
                <w:kern w:val="0"/>
                <w:szCs w:val="21"/>
              </w:rPr>
              <w:t xml:space="preserve"> 评价的组合方法；</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⑥提供其他岗位临床人员（麻醉医生、药剂等）</w:t>
            </w:r>
            <w:r>
              <w:rPr>
                <w:rFonts w:ascii="宋体" w:hAnsi="宋体" w:eastAsia="宋体" w:cs="Courier New"/>
                <w:bCs/>
                <w:color w:val="000000"/>
                <w:kern w:val="0"/>
                <w:szCs w:val="21"/>
              </w:rPr>
              <w:t xml:space="preserve"> 的绩效考核方案设</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计，体现多劳多得，优绩优酬的方针；</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⑦提供各不同类型科室的综合目标考核方案设计，体现科室特点，</w:t>
            </w:r>
            <w:r>
              <w:rPr>
                <w:rFonts w:ascii="宋体" w:hAnsi="宋体" w:eastAsia="宋体" w:cs="Courier New"/>
                <w:bCs/>
                <w:color w:val="000000"/>
                <w:kern w:val="0"/>
                <w:szCs w:val="21"/>
              </w:rPr>
              <w:t xml:space="preserve"> 实现科室差异化考核，充分考虑岗位价值，提供价值量化标准，且可以体现符合医院管理导向需求；</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以上每项方案设计合理，针对性强、能最大限度的考虑采购人的实</w:t>
            </w:r>
            <w:r>
              <w:rPr>
                <w:rFonts w:ascii="宋体" w:hAnsi="宋体" w:eastAsia="宋体" w:cs="Courier New"/>
                <w:bCs/>
                <w:color w:val="000000"/>
                <w:kern w:val="0"/>
                <w:szCs w:val="21"/>
              </w:rPr>
              <w:t xml:space="preserve"> 际需求和利益的，得 35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以上每项方案设计较合理，有一定的针对性、能考虑采购人的实际</w:t>
            </w:r>
            <w:r>
              <w:rPr>
                <w:rFonts w:ascii="宋体" w:hAnsi="宋体" w:eastAsia="宋体" w:cs="Courier New"/>
                <w:bCs/>
                <w:color w:val="000000"/>
                <w:kern w:val="0"/>
                <w:szCs w:val="21"/>
              </w:rPr>
              <w:t xml:space="preserve"> 需求和利益的，得 28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以上每项方案设计欠缺合理，未能考虑采购人的实际需求和利益的，</w:t>
            </w:r>
            <w:r>
              <w:rPr>
                <w:rFonts w:ascii="宋体" w:hAnsi="宋体" w:eastAsia="宋体" w:cs="Courier New"/>
                <w:bCs/>
                <w:color w:val="000000"/>
                <w:kern w:val="0"/>
                <w:szCs w:val="21"/>
              </w:rPr>
              <w:t xml:space="preserve"> 得 21 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不提供方案设计的不得分。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.2</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技术性能配置分</w:t>
            </w:r>
          </w:p>
        </w:tc>
        <w:tc>
          <w:tcPr>
            <w:tcW w:w="6309" w:type="dxa"/>
            <w:vAlign w:val="center"/>
          </w:tcPr>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投标文件技术参数无负偏离且有1个及以上正偏离，得</w:t>
            </w:r>
            <w:r>
              <w:rPr>
                <w:rFonts w:ascii="宋体" w:hAnsi="宋体" w:eastAsia="宋体" w:cs="Courier New"/>
                <w:bCs/>
                <w:color w:val="000000"/>
                <w:kern w:val="0"/>
                <w:szCs w:val="21"/>
              </w:rPr>
              <w:t>6</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投标文件技术参数无正、负偏离，得</w:t>
            </w:r>
            <w:r>
              <w:rPr>
                <w:rFonts w:ascii="宋体" w:hAnsi="宋体" w:eastAsia="宋体" w:cs="Courier New"/>
                <w:bCs/>
                <w:color w:val="000000"/>
                <w:kern w:val="0"/>
                <w:szCs w:val="21"/>
              </w:rPr>
              <w:t>3</w:t>
            </w:r>
            <w:r>
              <w:rPr>
                <w:rFonts w:hint="eastAsia" w:ascii="宋体" w:hAnsi="宋体" w:eastAsia="宋体" w:cs="Courier New"/>
                <w:bCs/>
                <w:color w:val="000000"/>
                <w:kern w:val="0"/>
                <w:szCs w:val="21"/>
              </w:rPr>
              <w:t>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投标文件技术参数有1个负偏离，得1分；</w:t>
            </w:r>
          </w:p>
          <w:p>
            <w:pPr>
              <w:spacing w:line="400" w:lineRule="exact"/>
              <w:rPr>
                <w:rFonts w:ascii="宋体" w:hAnsi="宋体" w:eastAsia="宋体" w:cs="Courier New"/>
                <w:bCs/>
                <w:color w:val="000000"/>
                <w:kern w:val="0"/>
                <w:szCs w:val="21"/>
              </w:rPr>
            </w:pPr>
            <w:r>
              <w:rPr>
                <w:rFonts w:hint="eastAsia" w:ascii="宋体" w:hAnsi="宋体" w:eastAsia="宋体" w:cs="Courier New"/>
                <w:bCs/>
                <w:color w:val="000000"/>
                <w:kern w:val="0"/>
                <w:szCs w:val="21"/>
              </w:rPr>
              <w:t>主要技术参数及配置优于采购文件要求的，每优于一项加</w:t>
            </w:r>
            <w:r>
              <w:rPr>
                <w:rFonts w:ascii="宋体" w:hAnsi="宋体" w:eastAsia="宋体" w:cs="Courier New"/>
                <w:bCs/>
                <w:color w:val="000000"/>
                <w:kern w:val="0"/>
                <w:szCs w:val="21"/>
              </w:rPr>
              <w:t>2分，</w:t>
            </w:r>
            <w:r>
              <w:rPr>
                <w:rFonts w:hint="eastAsia" w:ascii="宋体" w:hAnsi="宋体" w:eastAsia="宋体" w:cs="Courier New"/>
                <w:bCs/>
                <w:color w:val="000000"/>
                <w:kern w:val="0"/>
                <w:szCs w:val="21"/>
              </w:rPr>
              <w:t>总加</w:t>
            </w:r>
            <w:r>
              <w:rPr>
                <w:rFonts w:ascii="宋体" w:hAnsi="宋体" w:eastAsia="宋体" w:cs="Courier New"/>
                <w:bCs/>
                <w:color w:val="000000"/>
                <w:kern w:val="0"/>
                <w:szCs w:val="21"/>
              </w:rPr>
              <w:t>分4分。（主要技术参数指第三章项目需求中标注▲号的技术需求及要求）</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2.3</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实施方案分</w:t>
            </w:r>
          </w:p>
        </w:tc>
        <w:tc>
          <w:tcPr>
            <w:tcW w:w="6309" w:type="dxa"/>
            <w:vAlign w:val="center"/>
          </w:tcPr>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项目实施方案应包含施工进度计划及保证措施、质量保证计划及保证措施、劳动力计划及保障措施、安全施工计划及保证措施和维保服务承诺：</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一档：实施方案基本齐全，施工计划不合理，保障措施无力得</w:t>
            </w:r>
            <w:r>
              <w:rPr>
                <w:rFonts w:ascii="宋体" w:hAnsi="宋体" w:eastAsia="宋体" w:cs="Courier New"/>
                <w:bCs/>
                <w:color w:val="000000"/>
                <w:szCs w:val="21"/>
              </w:rPr>
              <w:t>1</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二档：实施方案内容齐全，各项计划基本合理得</w:t>
            </w:r>
            <w:r>
              <w:rPr>
                <w:rFonts w:ascii="宋体" w:hAnsi="宋体" w:eastAsia="宋体" w:cs="Courier New"/>
                <w:bCs/>
                <w:color w:val="000000"/>
                <w:szCs w:val="21"/>
              </w:rPr>
              <w:t>3</w:t>
            </w:r>
            <w:r>
              <w:rPr>
                <w:rFonts w:hint="eastAsia" w:ascii="宋体" w:hAnsi="宋体" w:eastAsia="宋体" w:cs="Courier New"/>
                <w:bCs/>
                <w:color w:val="000000"/>
                <w:szCs w:val="21"/>
              </w:rPr>
              <w:t>分；</w:t>
            </w:r>
          </w:p>
          <w:p>
            <w:pPr>
              <w:spacing w:line="400" w:lineRule="exact"/>
              <w:rPr>
                <w:rFonts w:ascii="宋体" w:hAnsi="宋体" w:eastAsia="宋体" w:cs="Courier New"/>
                <w:bCs/>
                <w:color w:val="000000"/>
                <w:szCs w:val="21"/>
              </w:rPr>
            </w:pPr>
            <w:r>
              <w:rPr>
                <w:rFonts w:hint="eastAsia" w:ascii="宋体" w:hAnsi="宋体" w:eastAsia="宋体" w:cs="Courier New"/>
                <w:bCs/>
                <w:color w:val="000000"/>
                <w:szCs w:val="21"/>
              </w:rPr>
              <w:t>三挡：实施方案内容齐全，各项计划合理、保障措施有力得</w:t>
            </w:r>
            <w:r>
              <w:rPr>
                <w:rFonts w:ascii="宋体" w:hAnsi="宋体" w:eastAsia="宋体" w:cs="Courier New"/>
                <w:bCs/>
                <w:color w:val="000000"/>
                <w:szCs w:val="21"/>
              </w:rPr>
              <w:t>5</w:t>
            </w:r>
            <w:r>
              <w:rPr>
                <w:rFonts w:hint="eastAsia" w:ascii="宋体" w:hAnsi="宋体" w:eastAsia="宋体" w:cs="Courier New"/>
                <w:bCs/>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2.4</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autoSpaceDE w:val="0"/>
              <w:autoSpaceDN w:val="0"/>
              <w:spacing w:line="440" w:lineRule="exact"/>
              <w:rPr>
                <w:rFonts w:ascii="宋体" w:hAnsi="宋体" w:eastAsia="宋体" w:cs="仿宋"/>
                <w:szCs w:val="21"/>
              </w:rPr>
            </w:pPr>
            <w:r>
              <w:rPr>
                <w:rFonts w:hint="eastAsia" w:ascii="宋体" w:hAnsi="宋体" w:eastAsia="宋体" w:cs="仿宋"/>
                <w:szCs w:val="21"/>
              </w:rPr>
              <w:t>1</w:t>
            </w:r>
            <w:r>
              <w:rPr>
                <w:rFonts w:ascii="宋体" w:hAnsi="宋体" w:eastAsia="宋体" w:cs="仿宋"/>
                <w:szCs w:val="21"/>
              </w:rPr>
              <w:t>.</w:t>
            </w:r>
            <w:r>
              <w:rPr>
                <w:rFonts w:hint="eastAsia" w:ascii="宋体" w:hAnsi="宋体" w:eastAsia="宋体" w:cs="仿宋"/>
                <w:szCs w:val="21"/>
              </w:rPr>
              <w:t>是否有完整的售后服务方案，是否承诺提供稳定的售后服务队伍包括但不限于售后服务机构、承诺、措施、流程、应急响应等内容。</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一档（</w:t>
            </w:r>
            <w:r>
              <w:rPr>
                <w:rFonts w:ascii="宋体" w:hAnsi="宋体" w:eastAsia="宋体" w:cs="仿宋"/>
                <w:szCs w:val="21"/>
              </w:rPr>
              <w:t>1</w:t>
            </w:r>
            <w:r>
              <w:rPr>
                <w:rFonts w:hint="eastAsia" w:ascii="宋体" w:hAnsi="宋体" w:eastAsia="宋体" w:cs="仿宋"/>
                <w:szCs w:val="21"/>
              </w:rPr>
              <w:t>分）：其方案内容一般、有售后服务机构、流程有欠缺、方案有欠缺；</w:t>
            </w:r>
          </w:p>
          <w:p>
            <w:pPr>
              <w:autoSpaceDE w:val="0"/>
              <w:autoSpaceDN w:val="0"/>
              <w:spacing w:line="440" w:lineRule="exact"/>
              <w:rPr>
                <w:rFonts w:ascii="宋体" w:hAnsi="宋体" w:eastAsia="宋体" w:cs="仿宋"/>
                <w:szCs w:val="21"/>
              </w:rPr>
            </w:pPr>
            <w:r>
              <w:rPr>
                <w:rFonts w:hint="eastAsia" w:ascii="宋体" w:hAnsi="宋体" w:eastAsia="宋体" w:cs="仿宋"/>
                <w:szCs w:val="21"/>
              </w:rPr>
              <w:t>二档（</w:t>
            </w:r>
            <w:r>
              <w:rPr>
                <w:rFonts w:ascii="宋体" w:hAnsi="宋体" w:eastAsia="宋体" w:cs="仿宋"/>
                <w:szCs w:val="21"/>
              </w:rPr>
              <w:t>2</w:t>
            </w:r>
            <w:r>
              <w:rPr>
                <w:rFonts w:hint="eastAsia" w:ascii="宋体" w:hAnsi="宋体" w:eastAsia="宋体" w:cs="仿宋"/>
                <w:szCs w:val="21"/>
              </w:rPr>
              <w:t>分）：其方案内容部分完整、能提供快速的售后服务响应，并针对本项目提供专门的售后服务技术支持、服务保障方案及应急预案，方案良好；</w:t>
            </w:r>
          </w:p>
          <w:p>
            <w:pPr>
              <w:autoSpaceDE w:val="0"/>
              <w:autoSpaceDN w:val="0"/>
              <w:spacing w:line="440" w:lineRule="exact"/>
              <w:rPr>
                <w:rFonts w:ascii="宋体" w:hAnsi="宋体" w:eastAsia="宋体" w:cs="仿宋"/>
                <w:szCs w:val="21"/>
              </w:rPr>
            </w:pPr>
            <w:r>
              <w:rPr>
                <w:rFonts w:hint="eastAsia" w:ascii="宋体" w:hAnsi="宋体" w:eastAsia="宋体" w:cs="仿宋"/>
                <w:szCs w:val="21"/>
              </w:rPr>
              <w:t>三档（</w:t>
            </w:r>
            <w:r>
              <w:rPr>
                <w:rFonts w:ascii="宋体" w:hAnsi="宋体" w:eastAsia="宋体" w:cs="仿宋"/>
                <w:szCs w:val="21"/>
              </w:rPr>
              <w:t>3</w:t>
            </w:r>
            <w:r>
              <w:rPr>
                <w:rFonts w:hint="eastAsia" w:ascii="宋体" w:hAnsi="宋体" w:eastAsia="宋体" w:cs="仿宋"/>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p>
            <w:pPr>
              <w:autoSpaceDE w:val="0"/>
              <w:autoSpaceDN w:val="0"/>
              <w:spacing w:line="440" w:lineRule="exact"/>
              <w:rPr>
                <w:rFonts w:ascii="宋体" w:hAnsi="宋体" w:eastAsia="宋体" w:cs="仿宋"/>
                <w:szCs w:val="21"/>
              </w:rPr>
            </w:pPr>
            <w:r>
              <w:rPr>
                <w:rFonts w:hint="eastAsia" w:ascii="宋体" w:hAnsi="宋体" w:eastAsia="宋体" w:cs="仿宋"/>
                <w:szCs w:val="21"/>
              </w:rPr>
              <w:t>2</w:t>
            </w:r>
            <w:r>
              <w:rPr>
                <w:rFonts w:ascii="宋体" w:hAnsi="宋体" w:eastAsia="宋体" w:cs="仿宋"/>
                <w:szCs w:val="21"/>
              </w:rPr>
              <w:t>.</w:t>
            </w:r>
            <w:r>
              <w:rPr>
                <w:rFonts w:hint="eastAsia" w:ascii="宋体" w:hAnsi="宋体" w:eastAsia="宋体" w:cs="仿宋"/>
                <w:szCs w:val="21"/>
              </w:rPr>
              <w:t>开放全部软件源代码，得2分。</w:t>
            </w:r>
          </w:p>
        </w:tc>
        <w:tc>
          <w:tcPr>
            <w:tcW w:w="854"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3.1</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供应商20</w:t>
            </w:r>
            <w:r>
              <w:rPr>
                <w:rFonts w:ascii="宋体" w:hAnsi="宋体" w:eastAsia="宋体" w:cs="Arial"/>
                <w:szCs w:val="21"/>
              </w:rPr>
              <w:t>19</w:t>
            </w:r>
            <w:r>
              <w:rPr>
                <w:rFonts w:hint="eastAsia" w:ascii="宋体" w:hAnsi="宋体" w:eastAsia="宋体" w:cs="Arial"/>
                <w:szCs w:val="21"/>
              </w:rPr>
              <w:t>年1月1日以来具有同类服务项目的销售业绩的，每项得</w:t>
            </w:r>
            <w:r>
              <w:rPr>
                <w:rFonts w:ascii="宋体" w:hAnsi="宋体" w:eastAsia="宋体" w:cs="Arial"/>
                <w:szCs w:val="21"/>
              </w:rPr>
              <w:t>1</w:t>
            </w:r>
            <w:r>
              <w:rPr>
                <w:rFonts w:hint="eastAsia" w:ascii="宋体" w:hAnsi="宋体" w:eastAsia="宋体" w:cs="Arial"/>
                <w:szCs w:val="21"/>
              </w:rPr>
              <w:t>分。（以响应文件中提供</w:t>
            </w:r>
            <w:r>
              <w:rPr>
                <w:rFonts w:ascii="宋体" w:hAnsi="宋体" w:eastAsia="宋体" w:cs="Arial"/>
                <w:szCs w:val="21"/>
              </w:rPr>
              <w:t>提供合同复印件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 xml:space="preserve"> </w:t>
            </w:r>
            <w:r>
              <w:rPr>
                <w:rFonts w:ascii="宋体" w:hAnsi="宋体" w:eastAsia="宋体" w:cs="Tahoma"/>
                <w:color w:val="000000"/>
                <w:kern w:val="0"/>
                <w:szCs w:val="21"/>
              </w:rPr>
              <w:t>8</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405"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3.2</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实力信誉</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Arial"/>
                <w:szCs w:val="21"/>
              </w:rPr>
              <w:t>（1）具有系统实施、系统维护、服务支持的服务人员队伍，服务团队不低于3人，以202</w:t>
            </w:r>
            <w:r>
              <w:rPr>
                <w:rFonts w:ascii="宋体" w:hAnsi="宋体" w:eastAsia="宋体" w:cs="Arial"/>
                <w:szCs w:val="21"/>
              </w:rPr>
              <w:t>1</w:t>
            </w:r>
            <w:r>
              <w:rPr>
                <w:rFonts w:hint="eastAsia" w:ascii="宋体" w:hAnsi="宋体" w:eastAsia="宋体" w:cs="Arial"/>
                <w:szCs w:val="21"/>
              </w:rPr>
              <w:t>年</w:t>
            </w:r>
            <w:r>
              <w:rPr>
                <w:rFonts w:ascii="宋体" w:hAnsi="宋体" w:eastAsia="宋体" w:cs="Arial"/>
                <w:szCs w:val="21"/>
              </w:rPr>
              <w:t>6</w:t>
            </w:r>
            <w:r>
              <w:rPr>
                <w:rFonts w:hint="eastAsia" w:ascii="宋体" w:hAnsi="宋体" w:eastAsia="宋体" w:cs="Arial"/>
                <w:szCs w:val="21"/>
              </w:rPr>
              <w:t>月至今任意三个月供应商为技术人员缴纳社保的证明材料复印件并加盖供应商公章为准，无社保证明不得分； 满足条件的服务人数每增加1人得1分，满分</w:t>
            </w:r>
            <w:r>
              <w:rPr>
                <w:rFonts w:ascii="宋体" w:hAnsi="宋体" w:eastAsia="宋体" w:cs="Arial"/>
                <w:szCs w:val="21"/>
              </w:rPr>
              <w:t>2</w:t>
            </w:r>
            <w:r>
              <w:rPr>
                <w:rFonts w:hint="eastAsia" w:ascii="宋体" w:hAnsi="宋体" w:eastAsia="宋体" w:cs="Arial"/>
                <w:szCs w:val="21"/>
              </w:rPr>
              <w:t>分；</w:t>
            </w:r>
          </w:p>
          <w:p>
            <w:pPr>
              <w:rPr>
                <w:rFonts w:ascii="宋体" w:hAnsi="宋体" w:eastAsia="宋体" w:cs="Arial"/>
                <w:szCs w:val="21"/>
              </w:rPr>
            </w:pPr>
            <w:r>
              <w:rPr>
                <w:rFonts w:hint="eastAsia" w:ascii="宋体" w:hAnsi="宋体" w:eastAsia="宋体" w:cs="Arial"/>
                <w:szCs w:val="21"/>
              </w:rPr>
              <w:t>（2）供应商通过ISO9001质量体系认证的得2分（响应文件中提供证书复印件）；</w:t>
            </w:r>
          </w:p>
          <w:p>
            <w:pPr>
              <w:rPr>
                <w:rFonts w:ascii="宋体" w:hAnsi="宋体" w:eastAsia="宋体" w:cs="Arial"/>
                <w:szCs w:val="21"/>
              </w:rPr>
            </w:pPr>
            <w:r>
              <w:rPr>
                <w:rFonts w:hint="eastAsia" w:ascii="宋体" w:hAnsi="宋体" w:eastAsia="宋体" w:cs="Arial"/>
                <w:szCs w:val="21"/>
              </w:rPr>
              <w:t>（3）供应商具有自主知识产权的计算机软件著作权登记证书，得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（4）供应商具有商务诚信等级评价证书，得</w:t>
            </w:r>
            <w:r>
              <w:rPr>
                <w:rFonts w:ascii="宋体" w:hAnsi="宋体" w:eastAsia="宋体" w:cs="Arial"/>
                <w:szCs w:val="21"/>
              </w:rPr>
              <w:t xml:space="preserve"> 1 分</w:t>
            </w:r>
            <w:r>
              <w:rPr>
                <w:rFonts w:hint="eastAsia" w:ascii="宋体" w:hAnsi="宋体" w:eastAsia="宋体" w:cs="Arial"/>
                <w:szCs w:val="21"/>
              </w:rPr>
              <w:t>（响应文件中提供证书复印件）；</w:t>
            </w:r>
          </w:p>
          <w:p>
            <w:pPr>
              <w:rPr>
                <w:rFonts w:ascii="宋体" w:hAnsi="宋体" w:eastAsia="宋体" w:cs="Arial"/>
                <w:szCs w:val="21"/>
              </w:rPr>
            </w:pPr>
            <w:r>
              <w:rPr>
                <w:rFonts w:hint="eastAsia" w:ascii="宋体" w:hAnsi="宋体" w:eastAsia="宋体" w:cs="Arial"/>
                <w:szCs w:val="21"/>
              </w:rPr>
              <w:t>（5）绩效软件系统通过软件测试，得</w:t>
            </w:r>
            <w:r>
              <w:rPr>
                <w:rFonts w:ascii="宋体" w:hAnsi="宋体" w:eastAsia="宋体" w:cs="Arial"/>
                <w:szCs w:val="21"/>
              </w:rPr>
              <w:t xml:space="preserve"> 1 分</w:t>
            </w:r>
            <w:r>
              <w:rPr>
                <w:rFonts w:hint="eastAsia" w:ascii="宋体" w:hAnsi="宋体" w:eastAsia="宋体" w:cs="Arial"/>
                <w:szCs w:val="21"/>
              </w:rPr>
              <w:t>（响应文件中提供证书复印件）；</w:t>
            </w:r>
          </w:p>
        </w:tc>
        <w:tc>
          <w:tcPr>
            <w:tcW w:w="854"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7</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一、资格证明文件格式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二、</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2194"/>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服务名称</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219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712"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617"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219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E7"/>
    <w:rsid w:val="0000112F"/>
    <w:rsid w:val="00034A2D"/>
    <w:rsid w:val="00040FB8"/>
    <w:rsid w:val="00057A98"/>
    <w:rsid w:val="00095A9E"/>
    <w:rsid w:val="000C7845"/>
    <w:rsid w:val="000E7D02"/>
    <w:rsid w:val="000F1407"/>
    <w:rsid w:val="000F1777"/>
    <w:rsid w:val="00114539"/>
    <w:rsid w:val="00121AC4"/>
    <w:rsid w:val="001407E6"/>
    <w:rsid w:val="001947FD"/>
    <w:rsid w:val="001C2CC7"/>
    <w:rsid w:val="001C6C2E"/>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00CA5"/>
    <w:rsid w:val="00420458"/>
    <w:rsid w:val="004261FD"/>
    <w:rsid w:val="0043312E"/>
    <w:rsid w:val="00475ACF"/>
    <w:rsid w:val="0049122E"/>
    <w:rsid w:val="004970E7"/>
    <w:rsid w:val="004B36A3"/>
    <w:rsid w:val="004B5BED"/>
    <w:rsid w:val="004B7907"/>
    <w:rsid w:val="004E4867"/>
    <w:rsid w:val="00522BAE"/>
    <w:rsid w:val="005467AF"/>
    <w:rsid w:val="0055706B"/>
    <w:rsid w:val="005904DC"/>
    <w:rsid w:val="00590FB2"/>
    <w:rsid w:val="005944EA"/>
    <w:rsid w:val="005A3E00"/>
    <w:rsid w:val="005B5BDB"/>
    <w:rsid w:val="005E5076"/>
    <w:rsid w:val="006208AC"/>
    <w:rsid w:val="0064134D"/>
    <w:rsid w:val="00677924"/>
    <w:rsid w:val="006C1533"/>
    <w:rsid w:val="006D6959"/>
    <w:rsid w:val="006F31FF"/>
    <w:rsid w:val="00701B9C"/>
    <w:rsid w:val="0070309E"/>
    <w:rsid w:val="00725A52"/>
    <w:rsid w:val="00726ACD"/>
    <w:rsid w:val="00732FF0"/>
    <w:rsid w:val="00746451"/>
    <w:rsid w:val="00764A4F"/>
    <w:rsid w:val="00771229"/>
    <w:rsid w:val="00783109"/>
    <w:rsid w:val="00795F07"/>
    <w:rsid w:val="007B02BA"/>
    <w:rsid w:val="007B1D4B"/>
    <w:rsid w:val="007F56B2"/>
    <w:rsid w:val="00804931"/>
    <w:rsid w:val="00851441"/>
    <w:rsid w:val="00876610"/>
    <w:rsid w:val="008B0597"/>
    <w:rsid w:val="008B759C"/>
    <w:rsid w:val="008D1A95"/>
    <w:rsid w:val="009123EC"/>
    <w:rsid w:val="00914286"/>
    <w:rsid w:val="009149DA"/>
    <w:rsid w:val="009251A9"/>
    <w:rsid w:val="009535DF"/>
    <w:rsid w:val="009A28A4"/>
    <w:rsid w:val="009B1BE3"/>
    <w:rsid w:val="00A1363E"/>
    <w:rsid w:val="00A31622"/>
    <w:rsid w:val="00A44221"/>
    <w:rsid w:val="00A53207"/>
    <w:rsid w:val="00A554F0"/>
    <w:rsid w:val="00A6578C"/>
    <w:rsid w:val="00A70F25"/>
    <w:rsid w:val="00A71DF9"/>
    <w:rsid w:val="00A74200"/>
    <w:rsid w:val="00A80C76"/>
    <w:rsid w:val="00A94F5A"/>
    <w:rsid w:val="00AC5952"/>
    <w:rsid w:val="00AD2115"/>
    <w:rsid w:val="00AD616F"/>
    <w:rsid w:val="00B112EA"/>
    <w:rsid w:val="00B207CB"/>
    <w:rsid w:val="00B66A6A"/>
    <w:rsid w:val="00B80DE8"/>
    <w:rsid w:val="00BA72C3"/>
    <w:rsid w:val="00BA798B"/>
    <w:rsid w:val="00BE6561"/>
    <w:rsid w:val="00BF0177"/>
    <w:rsid w:val="00C02C01"/>
    <w:rsid w:val="00C21E58"/>
    <w:rsid w:val="00C36592"/>
    <w:rsid w:val="00C7251A"/>
    <w:rsid w:val="00C87E3C"/>
    <w:rsid w:val="00CB3325"/>
    <w:rsid w:val="00CC28C7"/>
    <w:rsid w:val="00CE36F2"/>
    <w:rsid w:val="00D068D6"/>
    <w:rsid w:val="00D346A0"/>
    <w:rsid w:val="00D4283D"/>
    <w:rsid w:val="00D505E4"/>
    <w:rsid w:val="00D63FF1"/>
    <w:rsid w:val="00D84C7E"/>
    <w:rsid w:val="00DC2664"/>
    <w:rsid w:val="00DE5045"/>
    <w:rsid w:val="00DE59C3"/>
    <w:rsid w:val="00DE69C9"/>
    <w:rsid w:val="00E26621"/>
    <w:rsid w:val="00E526D6"/>
    <w:rsid w:val="00E61634"/>
    <w:rsid w:val="00E63D8B"/>
    <w:rsid w:val="00E832A8"/>
    <w:rsid w:val="00EB6E6F"/>
    <w:rsid w:val="00EE1BC2"/>
    <w:rsid w:val="00F30CD9"/>
    <w:rsid w:val="00F47CB8"/>
    <w:rsid w:val="00F55F69"/>
    <w:rsid w:val="00F67C17"/>
    <w:rsid w:val="00F806B4"/>
    <w:rsid w:val="00F8364B"/>
    <w:rsid w:val="00F94595"/>
    <w:rsid w:val="00FA0D28"/>
    <w:rsid w:val="00FB3B21"/>
    <w:rsid w:val="00FE3298"/>
    <w:rsid w:val="01C03AC7"/>
    <w:rsid w:val="17801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0"/>
    <w:semiHidden/>
    <w:unhideWhenUsed/>
    <w:uiPriority w:val="99"/>
    <w:pPr>
      <w:ind w:left="100" w:leftChars="25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日期 字符"/>
    <w:basedOn w:val="7"/>
    <w:link w:val="3"/>
    <w:semiHidden/>
    <w:uiPriority w:val="99"/>
  </w:style>
  <w:style w:type="character" w:customStyle="1" w:styleId="11">
    <w:name w:val="标题 2 字符"/>
    <w:basedOn w:val="7"/>
    <w:link w:val="2"/>
    <w:semiHidden/>
    <w:qFormat/>
    <w:uiPriority w:val="9"/>
    <w:rPr>
      <w:rFonts w:asciiTheme="majorHAnsi" w:hAnsiTheme="majorHAnsi" w:eastAsiaTheme="majorEastAsia" w:cstheme="majorBidi"/>
      <w:b/>
      <w:bCs/>
      <w:sz w:val="32"/>
      <w:szCs w:val="32"/>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4081</Words>
  <Characters>23267</Characters>
  <Lines>193</Lines>
  <Paragraphs>54</Paragraphs>
  <TotalTime>0</TotalTime>
  <ScaleCrop>false</ScaleCrop>
  <LinksUpToDate>false</LinksUpToDate>
  <CharactersWithSpaces>27294</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2022-05-23T01:48:00Z</dcterms:created>
  <dc:creator>魏宝兴</dc:creator>
  <cp:lastModifiedBy>7月LEO</cp:lastModifiedBy>
  <cp:lastPrinted>2022-05-16T07:21:00Z</cp:lastPrinted>
  <dcterms:modified xsi:type="dcterms:W3CDTF">2022-05-24T10:42:37Z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83FCD044E0014CDF9D2553633C240282</vt:lpwstr>
  </property>
</Properties>
</file>