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hint="eastAsia" w:ascii="方正小标宋简体" w:hAnsi="宋体" w:eastAsia="方正小标宋简体" w:cs="Times New Roman"/>
          <w:b/>
          <w:sz w:val="44"/>
          <w:szCs w:val="44"/>
          <w:lang w:val="en-US" w:eastAsia="zh-CN"/>
        </w:rPr>
      </w:pPr>
      <w:r>
        <w:rPr>
          <w:rFonts w:hint="eastAsia" w:ascii="方正小标宋简体" w:hAnsi="宋体" w:eastAsia="方正小标宋简体" w:cs="Times New Roman"/>
          <w:b/>
          <w:sz w:val="44"/>
          <w:szCs w:val="44"/>
          <w:lang w:val="en-US" w:eastAsia="zh-CN"/>
        </w:rPr>
        <w:t>广西骨伤医院便携式骨密度仪采购项目</w:t>
      </w:r>
    </w:p>
    <w:p>
      <w:pPr>
        <w:spacing w:before="312" w:beforeLines="100" w:after="156" w:afterLines="50"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便携式骨密度仪采购项目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rPr>
        <w:t>GXGSYY-</w:t>
      </w:r>
      <w:r>
        <w:rPr>
          <w:rFonts w:hint="eastAsia" w:ascii="仿宋_GB2312" w:hAnsi="宋体" w:eastAsia="仿宋_GB2312" w:cs="Times New Roman"/>
          <w:b/>
          <w:color w:val="000000"/>
          <w:sz w:val="32"/>
          <w:szCs w:val="32"/>
        </w:rPr>
        <w:t>C</w:t>
      </w:r>
      <w:r>
        <w:rPr>
          <w:rFonts w:ascii="仿宋_GB2312" w:hAnsi="宋体" w:eastAsia="仿宋_GB2312" w:cs="Times New Roman"/>
          <w:b/>
          <w:color w:val="000000"/>
          <w:sz w:val="32"/>
          <w:szCs w:val="32"/>
        </w:rPr>
        <w:t>GB-SBK-202</w:t>
      </w:r>
      <w:r>
        <w:rPr>
          <w:rFonts w:hint="eastAsia" w:ascii="仿宋_GB2312" w:hAnsi="宋体" w:eastAsia="仿宋_GB2312" w:cs="Times New Roman"/>
          <w:b/>
          <w:color w:val="000000"/>
          <w:sz w:val="32"/>
          <w:szCs w:val="32"/>
          <w:lang w:val="en-US" w:eastAsia="zh-CN"/>
        </w:rPr>
        <w:t>2</w:t>
      </w:r>
      <w:r>
        <w:rPr>
          <w:rFonts w:ascii="仿宋_GB2312" w:hAnsi="宋体" w:eastAsia="仿宋_GB2312" w:cs="Times New Roman"/>
          <w:b/>
          <w:color w:val="000000"/>
          <w:sz w:val="32"/>
          <w:szCs w:val="32"/>
        </w:rPr>
        <w:t>-00</w:t>
      </w:r>
      <w:r>
        <w:rPr>
          <w:rFonts w:hint="eastAsia" w:ascii="仿宋_GB2312" w:hAnsi="宋体" w:eastAsia="仿宋_GB2312" w:cs="Times New Roman"/>
          <w:b/>
          <w:color w:val="000000"/>
          <w:sz w:val="32"/>
          <w:szCs w:val="32"/>
          <w:lang w:val="en-US" w:eastAsia="zh-CN"/>
        </w:rPr>
        <w:t>2</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2</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18</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 w:name="_Toc47452204"/>
      <w:r>
        <w:rPr>
          <w:rFonts w:hint="eastAsia" w:ascii="Cambria" w:hAnsi="Cambria" w:eastAsia="宋体" w:cs="Times New Roman"/>
          <w:b/>
          <w:bCs/>
          <w:color w:val="000000"/>
          <w:sz w:val="32"/>
          <w:szCs w:val="32"/>
          <w:lang w:val="zh-CN" w:eastAsia="zh-CN"/>
        </w:rPr>
        <w:t xml:space="preserve">第一章 </w:t>
      </w:r>
      <w:r>
        <w:rPr>
          <w:rFonts w:hint="eastAsia" w:ascii="Cambria" w:hAnsi="Cambria" w:eastAsia="宋体" w:cs="Times New Roman"/>
          <w:b/>
          <w:bCs/>
          <w:color w:val="000000"/>
          <w:sz w:val="32"/>
          <w:szCs w:val="32"/>
          <w:lang w:val="zh-CN"/>
        </w:rPr>
        <w:t>议价会</w:t>
      </w:r>
      <w:r>
        <w:rPr>
          <w:rFonts w:hint="eastAsia" w:ascii="Cambria" w:hAnsi="Cambria" w:eastAsia="宋体" w:cs="Times New Roman"/>
          <w:b/>
          <w:bCs/>
          <w:color w:val="000000"/>
          <w:sz w:val="32"/>
          <w:szCs w:val="32"/>
          <w:lang w:val="zh-CN" w:eastAsia="zh-CN"/>
        </w:rPr>
        <w:t>公告</w:t>
      </w:r>
      <w:bookmarkEnd w:id="1"/>
    </w:p>
    <w:p>
      <w:pPr>
        <w:keepNext/>
        <w:keepLines/>
        <w:spacing w:line="320" w:lineRule="exact"/>
        <w:ind w:firstLine="422" w:firstLineChars="200"/>
        <w:outlineLvl w:val="1"/>
        <w:rPr>
          <w:rFonts w:ascii="宋体" w:hAnsi="宋体" w:eastAsia="宋体" w:cs="宋体"/>
          <w:b/>
          <w:color w:val="000000"/>
          <w:szCs w:val="21"/>
          <w:lang w:val="zh-CN" w:eastAsia="zh-CN"/>
        </w:rPr>
      </w:pPr>
      <w:bookmarkStart w:id="2" w:name="_Toc44229878"/>
      <w:bookmarkStart w:id="3" w:name="_Toc35393798"/>
      <w:bookmarkStart w:id="4" w:name="_Toc47452205"/>
      <w:bookmarkStart w:id="5" w:name="_Toc28359089"/>
      <w:bookmarkStart w:id="6" w:name="_Toc35393629"/>
      <w:bookmarkStart w:id="7" w:name="_Toc28359012"/>
      <w:r>
        <w:rPr>
          <w:rFonts w:hint="eastAsia" w:ascii="宋体" w:hAnsi="宋体" w:eastAsia="宋体" w:cs="宋体"/>
          <w:b/>
          <w:color w:val="000000"/>
          <w:szCs w:val="21"/>
          <w:lang w:val="zh-CN" w:eastAsia="zh-CN"/>
        </w:rPr>
        <w:t>一、项目基本情况</w:t>
      </w:r>
      <w:bookmarkEnd w:id="2"/>
      <w:bookmarkEnd w:id="3"/>
      <w:bookmarkEnd w:id="4"/>
      <w:bookmarkEnd w:id="5"/>
      <w:bookmarkEnd w:id="6"/>
      <w:bookmarkEnd w:id="7"/>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ascii="宋体" w:hAnsi="宋体" w:eastAsia="宋体" w:cs="Times New Roman"/>
          <w:color w:val="000000"/>
          <w:szCs w:val="21"/>
        </w:rPr>
        <w:t>GXGSYY-CGB-SBK-202</w:t>
      </w:r>
      <w:r>
        <w:rPr>
          <w:rFonts w:hint="eastAsia" w:ascii="宋体" w:hAnsi="宋体" w:eastAsia="宋体" w:cs="Times New Roman"/>
          <w:color w:val="000000"/>
          <w:szCs w:val="21"/>
          <w:lang w:val="en-US" w:eastAsia="zh-CN"/>
        </w:rPr>
        <w:t>2</w:t>
      </w:r>
      <w:r>
        <w:rPr>
          <w:rFonts w:ascii="宋体" w:hAnsi="宋体" w:eastAsia="宋体" w:cs="Times New Roman"/>
          <w:color w:val="000000"/>
          <w:szCs w:val="21"/>
        </w:rPr>
        <w:t>-00</w:t>
      </w:r>
      <w:r>
        <w:rPr>
          <w:rFonts w:hint="eastAsia" w:ascii="宋体" w:hAnsi="宋体" w:eastAsia="宋体" w:cs="Times New Roman"/>
          <w:color w:val="000000"/>
          <w:szCs w:val="21"/>
          <w:lang w:val="en-US" w:eastAsia="zh-CN"/>
        </w:rPr>
        <w:t>2</w:t>
      </w:r>
    </w:p>
    <w:p>
      <w:pPr>
        <w:spacing w:line="320" w:lineRule="exact"/>
        <w:ind w:firstLine="420" w:firstLineChars="200"/>
        <w:rPr>
          <w:rFonts w:hint="default" w:ascii="宋体" w:hAnsi="宋体" w:eastAsia="宋体" w:cs="Times New Roman"/>
          <w:color w:val="000000"/>
          <w:szCs w:val="21"/>
          <w:u w:val="single"/>
          <w:lang w:val="en-US"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val="en-US" w:eastAsia="zh-CN"/>
        </w:rPr>
        <w:t>便携式骨密度仪</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采购方式：院内议价</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6.3</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r>
        <w:rPr>
          <w:rFonts w:ascii="宋体" w:hAnsi="宋体" w:eastAsia="宋体" w:cs="Times New Roman"/>
          <w:color w:val="000000"/>
          <w:szCs w:val="21"/>
        </w:rPr>
        <w:t xml:space="preserve"> </w:t>
      </w:r>
    </w:p>
    <w:p>
      <w:pPr>
        <w:widowControl/>
        <w:ind w:firstLine="420" w:firstLineChars="200"/>
        <w:rPr>
          <w:rFonts w:ascii="宋体" w:hAnsi="宋体" w:eastAsia="宋体" w:cs="Times New Roman"/>
          <w:color w:val="000000"/>
          <w:szCs w:val="21"/>
        </w:rPr>
      </w:pP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便携式骨密度仪</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1套</w:t>
            </w:r>
          </w:p>
        </w:tc>
        <w:tc>
          <w:tcPr>
            <w:tcW w:w="5954" w:type="dxa"/>
            <w:shd w:val="clear" w:color="auto" w:fill="auto"/>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1.全干式超声波测量骨质胜诉（SOS）；</w:t>
            </w:r>
          </w:p>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2.收发模式：双晶体发射双晶体接受；</w:t>
            </w:r>
          </w:p>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3.标准测量部位：桡骨，胫骨；</w:t>
            </w:r>
          </w:p>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4.分析数据：包含T值、Z值、同龄百分比、骨强度指数（BQI）、骨龄（PAB）、预期发生骨质疏松的年龄（EOA）、相对骨折风险（RRF）、BMI指数、预测儿童身高等；</w:t>
            </w:r>
          </w:p>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5.探头发射工作频率≦1.25MHz；</w:t>
            </w:r>
          </w:p>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6.SOS测量准确度≦0.25%，测量重复性CV≦0.25%；</w:t>
            </w:r>
          </w:p>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7.温度小时校准块：具有黄铜、纯铜、有机玻璃多重校准，配置温度校准软件；</w:t>
            </w:r>
          </w:p>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8.覆盖全年龄段人群测量，儿童（0-20岁）和成人（20-100岁）；</w:t>
            </w:r>
          </w:p>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9.含有世界人种/亚洲人种（中国）正常参考值对比数据库及统计功能；</w:t>
            </w:r>
          </w:p>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10.测量结果自动判断；</w:t>
            </w:r>
          </w:p>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11.内置打印机，可外接彩色打印机；</w:t>
            </w:r>
          </w:p>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12.提供A4、16K、B5等多种尺寸报告单及横竖排版方式；</w:t>
            </w:r>
          </w:p>
          <w:p>
            <w:pPr>
              <w:spacing w:line="400" w:lineRule="exact"/>
              <w:jc w:val="left"/>
              <w:rPr>
                <w:rFonts w:ascii="宋体" w:hAnsi="宋体" w:eastAsia="宋体" w:cs="Times New Roman"/>
                <w:szCs w:val="21"/>
              </w:rPr>
            </w:pPr>
            <w:r>
              <w:rPr>
                <w:rFonts w:hint="eastAsia" w:ascii="宋体" w:hAnsi="宋体" w:eastAsia="宋体" w:cs="Times New Roman"/>
                <w:bCs/>
                <w:szCs w:val="21"/>
                <w:lang w:val="en-US" w:eastAsia="zh-CN"/>
              </w:rPr>
              <w:t>13.配有高清彩色显示器，配备专用一体便携收纳箱，整机重量≦5kg。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按国家有关产品“三包”规定执行“三包”，交货验收合格之日起所有货物提供二年的免费上门保修和包换、维护服务（各分项另有要求的以各分项要求为准）。质保期内免费上门维修、免费更换零部件。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免费送货上门、免费培训操作人员。</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jc w:val="left"/>
              <w:rPr>
                <w:rFonts w:ascii="宋体" w:hAnsi="宋体" w:eastAsia="宋体" w:cs="Times New Roman"/>
                <w:bCs/>
                <w:szCs w:val="21"/>
              </w:rPr>
            </w:pPr>
            <w:r>
              <w:rPr>
                <w:rFonts w:ascii="宋体" w:hAnsi="宋体" w:eastAsia="宋体" w:cs="Times New Roman"/>
                <w:bCs/>
                <w:szCs w:val="21"/>
              </w:rPr>
              <w:t>3</w:t>
            </w:r>
            <w:r>
              <w:rPr>
                <w:rFonts w:hint="eastAsia" w:ascii="宋体" w:hAnsi="宋体" w:eastAsia="宋体" w:cs="Times New Roman"/>
                <w:bCs/>
                <w:szCs w:val="21"/>
              </w:rPr>
              <w:t>.</w:t>
            </w:r>
            <w:r>
              <w:rPr>
                <w:rFonts w:ascii="宋体" w:hAnsi="宋体" w:eastAsia="宋体" w:cs="Times New Roman"/>
                <w:bCs/>
                <w:szCs w:val="21"/>
              </w:rPr>
              <w:t>中标人除承担运输、安装、调试、验收与培训等义务外，还将为采购方提供技术支持，包括保修期外的修理及技术指导、配件供应等。</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付款方式：货物</w:t>
            </w:r>
            <w:r>
              <w:rPr>
                <w:rFonts w:hint="eastAsia" w:ascii="宋体" w:hAnsi="宋体" w:eastAsia="宋体" w:cs="Times New Roman"/>
                <w:bCs/>
                <w:szCs w:val="21"/>
                <w:lang w:val="en-US" w:eastAsia="zh-CN"/>
              </w:rPr>
              <w:t>到货</w:t>
            </w:r>
            <w:r>
              <w:rPr>
                <w:rFonts w:hint="eastAsia" w:ascii="宋体" w:hAnsi="宋体" w:eastAsia="宋体" w:cs="Times New Roman"/>
                <w:bCs/>
                <w:szCs w:val="21"/>
              </w:rPr>
              <w:t>验收合格后，采购人在</w:t>
            </w:r>
            <w:r>
              <w:rPr>
                <w:rFonts w:hint="eastAsia" w:ascii="宋体" w:hAnsi="宋体" w:eastAsia="宋体" w:cs="Times New Roman"/>
                <w:bCs/>
                <w:szCs w:val="21"/>
                <w:lang w:val="en-US" w:eastAsia="zh-CN"/>
              </w:rPr>
              <w:t>7个工作日内</w:t>
            </w:r>
            <w:r>
              <w:rPr>
                <w:rFonts w:hint="eastAsia" w:ascii="宋体" w:hAnsi="宋体" w:eastAsia="宋体" w:cs="Times New Roman"/>
                <w:bCs/>
                <w:szCs w:val="21"/>
              </w:rPr>
              <w:t>支付合同总金额的1</w:t>
            </w:r>
            <w:r>
              <w:rPr>
                <w:rFonts w:ascii="宋体" w:hAnsi="宋体" w:eastAsia="宋体" w:cs="Times New Roman"/>
                <w:bCs/>
                <w:szCs w:val="21"/>
              </w:rPr>
              <w:t>00%货款</w:t>
            </w:r>
            <w:r>
              <w:rPr>
                <w:rFonts w:hint="eastAsia" w:ascii="宋体" w:hAnsi="宋体" w:eastAsia="宋体" w:cs="Times New Roman"/>
                <w:bCs/>
                <w:szCs w:val="21"/>
              </w:rPr>
              <w:t>，中标人应在</w:t>
            </w:r>
            <w:r>
              <w:rPr>
                <w:rFonts w:hint="eastAsia" w:ascii="宋体" w:hAnsi="宋体" w:eastAsia="宋体" w:cs="Times New Roman"/>
                <w:bCs/>
                <w:szCs w:val="21"/>
                <w:lang w:val="en-US" w:eastAsia="zh-CN"/>
              </w:rPr>
              <w:t>30</w:t>
            </w:r>
            <w:r>
              <w:rPr>
                <w:rFonts w:hint="eastAsia" w:ascii="宋体" w:hAnsi="宋体" w:eastAsia="宋体" w:cs="Times New Roman"/>
                <w:bCs/>
                <w:szCs w:val="21"/>
              </w:rPr>
              <w:t>日内开具发票给采购人。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3.投标时必须提供产品有效的医疗器械注册证复印件或注册证受理证明复印件。</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keepNext/>
        <w:keepLines/>
        <w:spacing w:line="276" w:lineRule="auto"/>
        <w:ind w:firstLine="422" w:firstLineChars="200"/>
        <w:outlineLvl w:val="1"/>
        <w:rPr>
          <w:rFonts w:ascii="宋体" w:hAnsi="宋体" w:eastAsia="宋体" w:cs="宋体"/>
          <w:b/>
          <w:color w:val="000000"/>
          <w:szCs w:val="21"/>
          <w:lang w:val="zh-CN" w:eastAsia="zh-CN"/>
        </w:rPr>
      </w:pPr>
      <w:bookmarkStart w:id="8" w:name="_Toc44229879"/>
      <w:bookmarkStart w:id="9" w:name="_Toc35393630"/>
      <w:bookmarkStart w:id="10" w:name="_Toc47452206"/>
      <w:bookmarkStart w:id="11" w:name="_Toc28359090"/>
      <w:bookmarkStart w:id="12" w:name="_Toc35393799"/>
      <w:bookmarkStart w:id="13" w:name="_Toc28359013"/>
      <w:r>
        <w:rPr>
          <w:rFonts w:hint="eastAsia" w:ascii="宋体" w:hAnsi="宋体" w:eastAsia="宋体" w:cs="宋体"/>
          <w:b/>
          <w:color w:val="000000"/>
          <w:szCs w:val="21"/>
          <w:lang w:val="zh-CN" w:eastAsia="zh-CN"/>
        </w:rPr>
        <w:t>二、供应商的资格条件：</w:t>
      </w:r>
      <w:bookmarkEnd w:id="8"/>
      <w:bookmarkEnd w:id="9"/>
      <w:bookmarkEnd w:id="10"/>
      <w:bookmarkEnd w:id="11"/>
      <w:bookmarkEnd w:id="12"/>
      <w:bookmarkEnd w:id="13"/>
    </w:p>
    <w:p>
      <w:pPr>
        <w:keepNext/>
        <w:keepLines/>
        <w:spacing w:line="276" w:lineRule="auto"/>
        <w:ind w:firstLine="420" w:firstLineChars="200"/>
        <w:outlineLvl w:val="1"/>
        <w:rPr>
          <w:rFonts w:ascii="宋体" w:hAnsi="宋体" w:eastAsia="宋体" w:cs="Times New Roman"/>
          <w:color w:val="000000"/>
          <w:szCs w:val="21"/>
        </w:rPr>
      </w:pPr>
      <w:bookmarkStart w:id="14" w:name="_Toc44229880"/>
      <w:bookmarkStart w:id="15" w:name="_Toc35393631"/>
      <w:bookmarkStart w:id="16" w:name="_Toc35393800"/>
      <w:bookmarkStart w:id="17" w:name="_Toc28359014"/>
      <w:bookmarkStart w:id="18" w:name="_Toc47452207"/>
      <w:bookmarkStart w:id="19" w:name="_Toc28359091"/>
      <w:r>
        <w:rPr>
          <w:rFonts w:hint="eastAsia" w:ascii="宋体" w:hAnsi="宋体" w:eastAsia="宋体" w:cs="Times New Roman"/>
          <w:color w:val="000000"/>
          <w:szCs w:val="21"/>
        </w:rPr>
        <w:t>除应具备《政府采购法》第二十二条资格条件外，还必须满足：</w:t>
      </w:r>
      <w:r>
        <w:rPr>
          <w:rFonts w:ascii="宋体" w:hAnsi="宋体" w:eastAsia="宋体" w:cs="Times New Roman"/>
          <w:color w:val="000000"/>
          <w:szCs w:val="21"/>
        </w:rPr>
        <w:t xml:space="preserve">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1.具有独立承担民事责任能力的在中华人民共和国境内注册的法人。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2.依法取得《医疗器械生产企业许可证》《医疗器械经营企业许可证》《药品经营许可证》或《药品生产许可证》(经营范围包含所投产品)。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3.为所投产品的制造商或销售代理商(提供授权书原件)。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4.所投产品具有有效的医疗器械注册证(或备案凭证)或不作为医疗器械管理的依据或《药品再注册批件》。</w:t>
      </w:r>
    </w:p>
    <w:bookmarkEnd w:id="14"/>
    <w:bookmarkEnd w:id="15"/>
    <w:bookmarkEnd w:id="16"/>
    <w:bookmarkEnd w:id="17"/>
    <w:bookmarkEnd w:id="18"/>
    <w:bookmarkEnd w:id="19"/>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lang w:val="en-US" w:eastAsia="zh-CN"/>
        </w:rPr>
        <w:t>60</w:t>
      </w:r>
      <w:r>
        <w:rPr>
          <w:rFonts w:ascii="宋体" w:hAnsi="宋体" w:eastAsia="宋体" w:cs="Times New Roman"/>
          <w:bCs/>
          <w:color w:val="000000"/>
          <w:szCs w:val="21"/>
        </w:rPr>
        <w:t>分、技术分</w:t>
      </w:r>
      <w:r>
        <w:rPr>
          <w:rFonts w:hint="eastAsia" w:ascii="宋体" w:hAnsi="宋体" w:eastAsia="宋体" w:cs="Times New Roman"/>
          <w:bCs/>
          <w:color w:val="000000"/>
          <w:szCs w:val="21"/>
          <w:lang w:val="en-US" w:eastAsia="zh-CN"/>
        </w:rPr>
        <w:t>20</w:t>
      </w:r>
      <w:r>
        <w:rPr>
          <w:rFonts w:ascii="宋体" w:hAnsi="宋体" w:eastAsia="宋体" w:cs="Times New Roman"/>
          <w:bCs/>
          <w:color w:val="000000"/>
          <w:szCs w:val="21"/>
        </w:rPr>
        <w:t>分、信誉业绩分10分、售后服务分10分。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60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技术分………………………………………………………………………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1）品牌分（满分10分）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一档：一般品牌</w:t>
      </w:r>
      <w:r>
        <w:rPr>
          <w:rFonts w:ascii="宋体" w:hAnsi="宋体" w:eastAsia="宋体" w:cs="Times New Roman"/>
          <w:bCs/>
          <w:color w:val="000000"/>
          <w:szCs w:val="21"/>
        </w:rPr>
        <w:t>(同一品牌，应同一分值)                    1～3分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二档：同行认可品牌</w:t>
      </w:r>
      <w:r>
        <w:rPr>
          <w:rFonts w:ascii="宋体" w:hAnsi="宋体" w:eastAsia="宋体" w:cs="Times New Roman"/>
          <w:bCs/>
          <w:color w:val="000000"/>
          <w:szCs w:val="21"/>
        </w:rPr>
        <w:t>(同一品牌，应同一分值)                4～7分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三档：著名品牌</w:t>
      </w:r>
      <w:r>
        <w:rPr>
          <w:rFonts w:ascii="宋体" w:hAnsi="宋体" w:eastAsia="宋体" w:cs="Times New Roman"/>
          <w:bCs/>
          <w:color w:val="000000"/>
          <w:szCs w:val="21"/>
        </w:rPr>
        <w:t>(同一品牌，应同一分值)                    8～10分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由评委在打分前根据投标货物品牌市场知名度集体讨论确定各投标人货物品牌所属档次，然后评委在各档次内独立打分。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2）设备性能分（满分</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w:t>
      </w:r>
      <w:r>
        <w:rPr>
          <w:rFonts w:ascii="宋体" w:hAnsi="宋体" w:eastAsia="宋体" w:cs="Times New Roman"/>
          <w:bCs/>
          <w:color w:val="000000"/>
          <w:szCs w:val="21"/>
        </w:rPr>
        <w:t>1～</w:t>
      </w:r>
      <w:r>
        <w:rPr>
          <w:rFonts w:hint="eastAsia" w:ascii="宋体" w:hAnsi="宋体" w:eastAsia="宋体" w:cs="Times New Roman"/>
          <w:bCs/>
          <w:color w:val="000000"/>
          <w:szCs w:val="21"/>
          <w:lang w:val="en-US" w:eastAsia="zh-CN"/>
        </w:rPr>
        <w:t>2.5</w:t>
      </w:r>
      <w:r>
        <w:rPr>
          <w:rFonts w:ascii="宋体" w:hAnsi="宋体" w:eastAsia="宋体" w:cs="Times New Roman"/>
          <w:bCs/>
          <w:color w:val="000000"/>
          <w:szCs w:val="21"/>
        </w:rPr>
        <w:t>分（经评审技术参数及性能配置存在负偏离），二档</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6～</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分（经评审技术参数及性能配置没有负偏离且没有正偏离），三档</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1～</w:t>
      </w:r>
      <w:r>
        <w:rPr>
          <w:rFonts w:hint="eastAsia" w:ascii="宋体" w:hAnsi="宋体" w:eastAsia="宋体" w:cs="Times New Roman"/>
          <w:bCs/>
          <w:color w:val="000000"/>
          <w:szCs w:val="21"/>
          <w:lang w:val="en-US" w:eastAsia="zh-CN"/>
        </w:rPr>
        <w:t>7.</w:t>
      </w:r>
      <w:r>
        <w:rPr>
          <w:rFonts w:ascii="宋体" w:hAnsi="宋体" w:eastAsia="宋体" w:cs="Times New Roman"/>
          <w:bCs/>
          <w:color w:val="000000"/>
          <w:szCs w:val="21"/>
        </w:rPr>
        <w:t>5分[经评审技术参数及性能配置没有负偏离且有1～3项（含3项）正偏离]，四档</w:t>
      </w:r>
      <w:r>
        <w:rPr>
          <w:rFonts w:hint="eastAsia" w:ascii="宋体" w:hAnsi="宋体" w:eastAsia="宋体" w:cs="Times New Roman"/>
          <w:bCs/>
          <w:color w:val="000000"/>
          <w:szCs w:val="21"/>
          <w:lang w:val="en-US" w:eastAsia="zh-CN"/>
        </w:rPr>
        <w:t>7.6</w:t>
      </w:r>
      <w:r>
        <w:rPr>
          <w:rFonts w:ascii="宋体" w:hAnsi="宋体" w:eastAsia="宋体" w:cs="Times New Roman"/>
          <w:bCs/>
          <w:color w:val="000000"/>
          <w:szCs w:val="21"/>
        </w:rPr>
        <w:t>～</w:t>
      </w:r>
      <w:r>
        <w:rPr>
          <w:rFonts w:hint="eastAsia" w:ascii="宋体" w:hAnsi="宋体" w:eastAsia="宋体" w:cs="Times New Roman"/>
          <w:bCs/>
          <w:color w:val="000000"/>
          <w:szCs w:val="21"/>
          <w:lang w:val="en-US" w:eastAsia="zh-CN"/>
        </w:rPr>
        <w:t>10</w:t>
      </w:r>
      <w:bookmarkStart w:id="20" w:name="_GoBack"/>
      <w:bookmarkEnd w:id="20"/>
      <w:r>
        <w:rPr>
          <w:rFonts w:ascii="宋体" w:hAnsi="宋体" w:eastAsia="宋体" w:cs="Times New Roman"/>
          <w:bCs/>
          <w:color w:val="000000"/>
          <w:szCs w:val="21"/>
        </w:rPr>
        <w:t>分（经评审技术参数及性能配置没有负偏离且有3项以上正偏离，明显优于招标文件要求）。由评委在打分前根据投标货物对招标文件中货物技术要求的响应程度集体讨论确定各投标人货物性能所属档次，然后评委在各档次内独立打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⑴投标人或所投标产品通过</w:t>
      </w:r>
      <w:r>
        <w:rPr>
          <w:rFonts w:ascii="宋体" w:hAnsi="宋体" w:eastAsia="宋体" w:cs="Times New Roman"/>
          <w:bCs/>
          <w:color w:val="000000"/>
          <w:szCs w:val="21"/>
        </w:rPr>
        <w:t>ISO9000认证的（提供证书复印件），每提供一个证书得0.5分，满分2分。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⑵投标人自</w:t>
      </w:r>
      <w:r>
        <w:rPr>
          <w:rFonts w:ascii="宋体" w:hAnsi="宋体" w:eastAsia="宋体" w:cs="Times New Roman"/>
          <w:bCs/>
          <w:color w:val="000000"/>
          <w:szCs w:val="21"/>
        </w:rPr>
        <w:t>2019年以来同类项目业绩分（提供合同复印件以及清晰反应采购内容页面，要求合同里至少明确注明有一个项目的投标产品），每提供一个合同得2分，满分8分。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0.1～4分，良好4.1～8分，优秀8.1～10分，由评委在打分前根据投标人售后服方案的优劣集体讨论确定投标人售后服务方案的档次，并由评委在相应的档次内独立打分。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=1+2+3+4。</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hint="eastAsia"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76BFC"/>
    <w:rsid w:val="000F1777"/>
    <w:rsid w:val="001115B9"/>
    <w:rsid w:val="0013782D"/>
    <w:rsid w:val="001947FD"/>
    <w:rsid w:val="0024032F"/>
    <w:rsid w:val="002433FD"/>
    <w:rsid w:val="00246FCB"/>
    <w:rsid w:val="002E5099"/>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C5631"/>
    <w:rsid w:val="00F65C52"/>
    <w:rsid w:val="00FA0D28"/>
    <w:rsid w:val="21F941EF"/>
    <w:rsid w:val="403C5C82"/>
    <w:rsid w:val="500718F9"/>
    <w:rsid w:val="551E5F54"/>
    <w:rsid w:val="6A4E0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日期 字符"/>
    <w:basedOn w:val="6"/>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415</Words>
  <Characters>2368</Characters>
  <Lines>19</Lines>
  <Paragraphs>5</Paragraphs>
  <TotalTime>12</TotalTime>
  <ScaleCrop>false</ScaleCrop>
  <LinksUpToDate>false</LinksUpToDate>
  <CharactersWithSpaces>2778</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2021-12-15T08:27:00Z</dcterms:created>
  <dc:creator>魏宝兴</dc:creator>
  <cp:lastModifiedBy>李浩</cp:lastModifiedBy>
  <dcterms:modified xsi:type="dcterms:W3CDTF">2022-04-19T08:14:08Z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9022C0B81CE34690BF09C8D56079BB51</vt:lpwstr>
  </property>
</Properties>
</file>