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宋体" w:hAnsi="宋体" w:eastAsia="宋体" w:cs="Times New Roman"/>
          <w:b/>
          <w:sz w:val="72"/>
          <w:szCs w:val="72"/>
        </w:rPr>
      </w:pPr>
      <w:r>
        <w:rPr>
          <w:rFonts w:hint="eastAsia" w:ascii="宋体" w:hAnsi="宋体" w:eastAsia="宋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项目名称：数据中心灾备项目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GXGSYY-XXWLZX-2021-00</w:t>
      </w:r>
      <w:r>
        <w:rPr>
          <w:rFonts w:hint="eastAsia" w:ascii="仿宋_GB2312" w:hAnsi="宋体" w:eastAsia="仿宋_GB2312" w:cs="Times New Roman"/>
          <w:b/>
          <w:color w:val="000000"/>
          <w:sz w:val="32"/>
          <w:szCs w:val="32"/>
          <w:lang w:val="en-US" w:eastAsia="zh-CN"/>
        </w:rPr>
        <w:t>5</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6</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18</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35393629"/>
      <w:bookmarkStart w:id="2" w:name="_Toc35393798"/>
      <w:bookmarkStart w:id="3" w:name="_Toc28359012"/>
      <w:bookmarkStart w:id="4" w:name="_Toc47452205"/>
      <w:bookmarkStart w:id="5" w:name="_Toc28359089"/>
      <w:bookmarkStart w:id="6" w:name="_Toc44229878"/>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GXGSYY-XXWLZX-2021-00</w:t>
      </w:r>
      <w:r>
        <w:rPr>
          <w:rFonts w:hint="eastAsia" w:ascii="宋体" w:hAnsi="宋体" w:eastAsia="宋体" w:cs="Times New Roman"/>
          <w:color w:val="000000"/>
          <w:szCs w:val="21"/>
          <w:lang w:val="en-US" w:eastAsia="zh-CN"/>
        </w:rPr>
        <w:t>5</w:t>
      </w:r>
      <w:bookmarkStart w:id="23" w:name="_GoBack"/>
      <w:bookmarkEnd w:id="23"/>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项目名称：数据中心灾备项目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48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最高限价：4</w:t>
      </w:r>
      <w:r>
        <w:rPr>
          <w:rFonts w:ascii="宋体" w:hAnsi="宋体" w:eastAsia="宋体" w:cs="Times New Roman"/>
          <w:color w:val="000000"/>
          <w:szCs w:val="21"/>
        </w:rPr>
        <w:t>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一、技术需求</w:t>
      </w:r>
    </w:p>
    <w:p>
      <w:pPr>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（一）安全部分：</w:t>
      </w:r>
    </w:p>
    <w:p>
      <w:pPr>
        <w:widowControl/>
        <w:ind w:firstLine="420" w:firstLineChars="200"/>
        <w:rPr>
          <w:rFonts w:ascii="宋体" w:hAnsi="宋体" w:eastAsia="宋体" w:cs="Times New Roman"/>
          <w:color w:val="000000"/>
          <w:szCs w:val="21"/>
        </w:rPr>
      </w:pPr>
      <w:r>
        <w:rPr>
          <w:rFonts w:ascii="宋体" w:hAnsi="宋体" w:eastAsia="宋体" w:cs="Times New Roman"/>
          <w:szCs w:val="21"/>
        </w:rPr>
        <w:t xml:space="preserve">1. </w:t>
      </w:r>
      <w:r>
        <w:rPr>
          <w:rFonts w:hint="eastAsia" w:ascii="宋体" w:hAnsi="宋体" w:eastAsia="宋体" w:cs="Times New Roman"/>
          <w:szCs w:val="21"/>
        </w:rPr>
        <w:t>WEB应用防护墙</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283"/>
        <w:gridCol w:w="6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1</w:t>
            </w:r>
          </w:p>
        </w:tc>
        <w:tc>
          <w:tcPr>
            <w:tcW w:w="1283"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WEB应用防火墙</w:t>
            </w:r>
            <w:r>
              <w:rPr>
                <w:rFonts w:hint="eastAsia" w:ascii="宋体" w:hAnsi="宋体" w:eastAsia="宋体" w:cs="Times New Roman"/>
                <w:szCs w:val="21"/>
              </w:rPr>
              <w:t xml:space="preserve"> </w:t>
            </w:r>
            <w:r>
              <w:rPr>
                <w:rFonts w:ascii="宋体" w:hAnsi="宋体" w:eastAsia="宋体" w:cs="Times New Roman"/>
                <w:szCs w:val="21"/>
              </w:rPr>
              <w:t>1</w:t>
            </w:r>
            <w:r>
              <w:rPr>
                <w:rFonts w:hint="eastAsia" w:ascii="宋体" w:hAnsi="宋体" w:eastAsia="宋体" w:cs="Times New Roman"/>
                <w:szCs w:val="21"/>
              </w:rPr>
              <w:t>套</w:t>
            </w:r>
          </w:p>
        </w:tc>
        <w:tc>
          <w:tcPr>
            <w:tcW w:w="6227" w:type="dxa"/>
            <w:shd w:val="clear" w:color="auto" w:fill="auto"/>
          </w:tcPr>
          <w:p>
            <w:pPr>
              <w:spacing w:line="400" w:lineRule="exact"/>
              <w:rPr>
                <w:rFonts w:ascii="宋体" w:hAnsi="宋体" w:eastAsia="宋体" w:cs="Times New Roman"/>
                <w:b/>
                <w:szCs w:val="21"/>
              </w:rPr>
            </w:pPr>
            <w:r>
              <w:rPr>
                <w:rFonts w:hint="eastAsia" w:ascii="宋体" w:hAnsi="宋体" w:eastAsia="宋体" w:cs="Times New Roman"/>
                <w:b/>
                <w:szCs w:val="21"/>
              </w:rPr>
              <w:t>一、基本要求</w:t>
            </w:r>
          </w:p>
          <w:p>
            <w:pPr>
              <w:numPr>
                <w:ilvl w:val="0"/>
                <w:numId w:val="1"/>
              </w:numPr>
              <w:spacing w:line="400" w:lineRule="exact"/>
              <w:rPr>
                <w:rFonts w:ascii="宋体" w:hAnsi="宋体" w:eastAsia="宋体" w:cs="Times New Roman"/>
                <w:color w:val="000000"/>
                <w:szCs w:val="21"/>
              </w:rPr>
            </w:pPr>
            <w:r>
              <w:rPr>
                <w:rFonts w:ascii="宋体" w:hAnsi="宋体" w:eastAsia="宋体" w:cs="Times New Roman"/>
                <w:color w:val="000000"/>
                <w:szCs w:val="21"/>
              </w:rPr>
              <w:t>1U,</w:t>
            </w:r>
            <w:r>
              <w:rPr>
                <w:rFonts w:hint="eastAsia" w:ascii="宋体" w:hAnsi="宋体" w:eastAsia="宋体" w:cs="Times New Roman"/>
                <w:sz w:val="24"/>
                <w:szCs w:val="21"/>
              </w:rPr>
              <w:t xml:space="preserve"> ≥</w:t>
            </w:r>
            <w:r>
              <w:rPr>
                <w:rFonts w:ascii="宋体" w:hAnsi="宋体" w:eastAsia="宋体" w:cs="Times New Roman"/>
                <w:color w:val="000000"/>
                <w:szCs w:val="21"/>
              </w:rPr>
              <w:t>6个千兆电口，</w:t>
            </w:r>
            <w:r>
              <w:rPr>
                <w:rFonts w:hint="eastAsia" w:ascii="宋体" w:hAnsi="宋体" w:eastAsia="宋体" w:cs="Times New Roman"/>
                <w:sz w:val="24"/>
                <w:szCs w:val="21"/>
              </w:rPr>
              <w:t>≥</w:t>
            </w:r>
            <w:r>
              <w:rPr>
                <w:rFonts w:ascii="宋体" w:hAnsi="宋体" w:eastAsia="宋体" w:cs="Times New Roman"/>
                <w:color w:val="000000"/>
                <w:szCs w:val="21"/>
              </w:rPr>
              <w:t>2个千兆光口,单电源,2个扩展槽位,应用层吞吐</w:t>
            </w:r>
            <w:r>
              <w:rPr>
                <w:rFonts w:hint="eastAsia" w:ascii="宋体" w:hAnsi="宋体" w:eastAsia="宋体" w:cs="Times New Roman"/>
                <w:sz w:val="24"/>
                <w:szCs w:val="21"/>
              </w:rPr>
              <w:t>≥</w:t>
            </w:r>
            <w:r>
              <w:rPr>
                <w:rFonts w:ascii="宋体" w:hAnsi="宋体" w:eastAsia="宋体" w:cs="Times New Roman"/>
                <w:color w:val="000000"/>
                <w:szCs w:val="21"/>
              </w:rPr>
              <w:t>500M，网络层吞吐</w:t>
            </w:r>
            <w:r>
              <w:rPr>
                <w:rFonts w:hint="eastAsia" w:ascii="宋体" w:hAnsi="宋体" w:eastAsia="宋体" w:cs="Times New Roman"/>
                <w:sz w:val="24"/>
                <w:szCs w:val="21"/>
              </w:rPr>
              <w:t>≥</w:t>
            </w:r>
            <w:r>
              <w:rPr>
                <w:rFonts w:ascii="宋体" w:hAnsi="宋体" w:eastAsia="宋体" w:cs="Times New Roman"/>
                <w:color w:val="000000"/>
                <w:szCs w:val="21"/>
              </w:rPr>
              <w:t>3.5G，并发连接</w:t>
            </w:r>
            <w:r>
              <w:rPr>
                <w:rFonts w:hint="eastAsia" w:ascii="宋体" w:hAnsi="宋体" w:eastAsia="宋体" w:cs="Times New Roman"/>
                <w:sz w:val="24"/>
                <w:szCs w:val="21"/>
              </w:rPr>
              <w:t>≥</w:t>
            </w:r>
            <w:r>
              <w:rPr>
                <w:rFonts w:ascii="宋体" w:hAnsi="宋体" w:eastAsia="宋体" w:cs="Times New Roman"/>
                <w:color w:val="000000"/>
                <w:szCs w:val="21"/>
              </w:rPr>
              <w:t>90万</w:t>
            </w:r>
          </w:p>
          <w:p>
            <w:pPr>
              <w:numPr>
                <w:ilvl w:val="0"/>
                <w:numId w:val="1"/>
              </w:numPr>
              <w:spacing w:line="400" w:lineRule="exact"/>
              <w:rPr>
                <w:rFonts w:ascii="宋体" w:hAnsi="宋体" w:eastAsia="宋体" w:cs="Times New Roman"/>
                <w:szCs w:val="21"/>
              </w:rPr>
            </w:pPr>
            <w:r>
              <w:rPr>
                <w:rFonts w:ascii="宋体" w:hAnsi="宋体" w:eastAsia="宋体" w:cs="Times New Roman"/>
                <w:color w:val="000000"/>
                <w:szCs w:val="21"/>
              </w:rPr>
              <w:t>产品必须为专业性 WEB 应用防火墙硬件设备，而非下一代防火墙/UTM 类设备集成的 WEB 防护功能</w:t>
            </w:r>
            <w:r>
              <w:rPr>
                <w:rFonts w:hint="eastAsia" w:ascii="宋体" w:hAnsi="宋体" w:eastAsia="宋体" w:cs="Times New Roman"/>
                <w:szCs w:val="21"/>
              </w:rPr>
              <w:t>。</w:t>
            </w:r>
          </w:p>
          <w:p>
            <w:pPr>
              <w:spacing w:line="400" w:lineRule="exact"/>
              <w:rPr>
                <w:rFonts w:ascii="宋体" w:hAnsi="宋体" w:eastAsia="宋体" w:cs="Times New Roman"/>
                <w:b/>
                <w:szCs w:val="21"/>
              </w:rPr>
            </w:pPr>
            <w:r>
              <w:rPr>
                <w:rFonts w:hint="eastAsia" w:ascii="宋体" w:hAnsi="宋体" w:eastAsia="宋体" w:cs="Times New Roman"/>
                <w:b/>
                <w:szCs w:val="21"/>
              </w:rPr>
              <w:t>二、产品功能</w:t>
            </w:r>
          </w:p>
          <w:p>
            <w:pPr>
              <w:numPr>
                <w:ilvl w:val="0"/>
                <w:numId w:val="1"/>
              </w:numPr>
              <w:spacing w:line="400" w:lineRule="exact"/>
              <w:rPr>
                <w:rFonts w:ascii="宋体" w:hAnsi="宋体" w:eastAsia="宋体" w:cs="Times New Roman"/>
                <w:kern w:val="0"/>
                <w:szCs w:val="21"/>
              </w:rPr>
            </w:pPr>
            <w:r>
              <w:rPr>
                <w:rFonts w:hint="eastAsia" w:ascii="宋体" w:hAnsi="宋体" w:eastAsia="宋体" w:cs="Times New Roman"/>
                <w:szCs w:val="21"/>
              </w:rPr>
              <w:t>支持</w:t>
            </w:r>
            <w:r>
              <w:rPr>
                <w:rFonts w:hint="eastAsia" w:ascii="宋体" w:hAnsi="宋体" w:eastAsia="宋体" w:cs="宋体"/>
                <w:color w:val="000000"/>
                <w:kern w:val="0"/>
                <w:szCs w:val="21"/>
              </w:rPr>
              <w:t>无IP纯透明模式串联部署、旁路监测模式部署、负载均衡模式部署、反向代理模式部署，</w:t>
            </w:r>
            <w:r>
              <w:rPr>
                <w:rFonts w:hint="eastAsia" w:ascii="宋体" w:hAnsi="宋体" w:eastAsia="宋体" w:cs="Times New Roman"/>
                <w:color w:val="000000"/>
                <w:kern w:val="0"/>
                <w:szCs w:val="21"/>
              </w:rPr>
              <w:t>串联部署时防护口不占用IP地址；</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支持虚拟线无论任何网络环境可强制数据从一个接口转发到另一个接口；</w:t>
            </w:r>
            <w:r>
              <w:rPr>
                <w:rFonts w:ascii="宋体" w:hAnsi="宋体" w:eastAsia="宋体" w:cs="Times New Roman"/>
                <w:kern w:val="0"/>
                <w:szCs w:val="21"/>
              </w:rPr>
              <w:t xml:space="preserve"> </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支持多种爬虫攻击防护：包括但不限于内置爬虫对象库，自定义爬虫对象，导入或者下载后端服务器robots.txt</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等方式提供爬虫攻击防护。</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支持网络层防火墙功能，支持源IP、源区域、目的IP、目的区域等条件的访问控制；</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支持HTTP/HTTPS站点防护；</w:t>
            </w:r>
            <w:r>
              <w:rPr>
                <w:rFonts w:ascii="宋体" w:hAnsi="宋体" w:eastAsia="宋体" w:cs="Times New Roman"/>
                <w:kern w:val="0"/>
                <w:szCs w:val="21"/>
              </w:rPr>
              <w:t xml:space="preserve"> </w:t>
            </w:r>
          </w:p>
          <w:p>
            <w:pPr>
              <w:numPr>
                <w:ilvl w:val="0"/>
                <w:numId w:val="1"/>
              </w:numPr>
              <w:spacing w:line="400" w:lineRule="exact"/>
              <w:rPr>
                <w:rFonts w:ascii="宋体" w:hAnsi="宋体" w:eastAsia="宋体" w:cs="宋体"/>
                <w:color w:val="000000"/>
                <w:kern w:val="0"/>
                <w:szCs w:val="21"/>
              </w:rPr>
            </w:pPr>
            <w:r>
              <w:rPr>
                <w:rFonts w:ascii="宋体" w:hAnsi="宋体" w:eastAsia="宋体" w:cs="宋体"/>
                <w:color w:val="000000"/>
                <w:kern w:val="0"/>
                <w:szCs w:val="21"/>
              </w:rPr>
              <w:t>应能识别和阻断SQL注入攻击,Cookie 注入攻击，命令注入攻击，</w:t>
            </w:r>
            <w:r>
              <w:rPr>
                <w:rFonts w:hint="eastAsia" w:ascii="宋体" w:hAnsi="宋体" w:eastAsia="宋体" w:cs="宋体"/>
                <w:color w:val="000000"/>
                <w:kern w:val="0"/>
                <w:szCs w:val="21"/>
              </w:rPr>
              <w:t>跨站脚本(XSS)攻击，跨站请求伪造(CSRF)攻击，支持远程文件包含、本地文件包含、目录遍历、信息泄露等攻击防护，支持HTTP参数污染攻击、00截断、</w:t>
            </w:r>
            <w:r>
              <w:rPr>
                <w:rFonts w:ascii="宋体" w:hAnsi="宋体" w:eastAsia="宋体" w:cs="宋体"/>
                <w:color w:val="000000"/>
                <w:kern w:val="0"/>
                <w:szCs w:val="21"/>
              </w:rPr>
              <w:t>Struts2</w:t>
            </w:r>
            <w:r>
              <w:rPr>
                <w:rFonts w:hint="eastAsia" w:ascii="宋体" w:hAnsi="宋体" w:eastAsia="宋体" w:cs="宋体"/>
                <w:color w:val="000000"/>
                <w:kern w:val="0"/>
                <w:szCs w:val="21"/>
              </w:rPr>
              <w:t>命令执行等常见攻击防护；</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支持盗链防护，且支持攻击源盗链例外配置，及目的服务器URI例外配置；</w:t>
            </w:r>
            <w:r>
              <w:rPr>
                <w:rFonts w:ascii="宋体" w:hAnsi="宋体" w:eastAsia="宋体" w:cs="Times New Roman"/>
                <w:kern w:val="0"/>
                <w:szCs w:val="21"/>
              </w:rPr>
              <w:t xml:space="preserve"> </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支持对身份证、信用卡、手机电话号码、座机电话号码、邮箱地址等敏感信息做检查，当检查到此类数据后可通过配置特殊字符予以替换隐藏，防止信息泄露；</w:t>
            </w:r>
            <w:r>
              <w:rPr>
                <w:rFonts w:ascii="宋体" w:hAnsi="宋体" w:eastAsia="宋体" w:cs="Times New Roman"/>
                <w:kern w:val="0"/>
                <w:szCs w:val="21"/>
              </w:rPr>
              <w:t xml:space="preserve"> </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支持URI策略例外，可针对服务器上URL中的特殊URI地址做单独的策略控制；</w:t>
            </w:r>
          </w:p>
          <w:p>
            <w:pPr>
              <w:numPr>
                <w:ilvl w:val="0"/>
                <w:numId w:val="1"/>
              </w:numPr>
              <w:spacing w:line="400" w:lineRule="exact"/>
              <w:rPr>
                <w:rFonts w:ascii="宋体" w:hAnsi="宋体" w:eastAsia="宋体" w:cs="Times New Roman"/>
                <w:kern w:val="0"/>
                <w:szCs w:val="21"/>
              </w:rPr>
            </w:pPr>
            <w:r>
              <w:rPr>
                <w:rFonts w:hint="eastAsia" w:ascii="宋体" w:hAnsi="宋体" w:eastAsia="宋体" w:cs="宋体"/>
                <w:color w:val="000000"/>
                <w:kern w:val="0"/>
                <w:szCs w:val="21"/>
              </w:rPr>
              <w:t>支持自学习建模功能，可以通过学习正常URL参数的长度、参数类型、请求方法等数据特点创建白名单模型，如果参数违反白名单模型则认为是非法流量直接阻断，开启自学习建模功能后可生成自学习网站参数的自学习结果报告；</w:t>
            </w:r>
            <w:r>
              <w:rPr>
                <w:rFonts w:ascii="宋体" w:hAnsi="宋体" w:eastAsia="宋体" w:cs="Times New Roman"/>
                <w:kern w:val="0"/>
                <w:szCs w:val="21"/>
              </w:rPr>
              <w:t xml:space="preserve"> </w:t>
            </w:r>
          </w:p>
          <w:p>
            <w:pPr>
              <w:numPr>
                <w:ilvl w:val="0"/>
                <w:numId w:val="1"/>
              </w:numPr>
              <w:spacing w:line="400" w:lineRule="exact"/>
              <w:rPr>
                <w:rFonts w:ascii="宋体" w:hAnsi="宋体" w:eastAsia="宋体" w:cs="宋体"/>
                <w:color w:val="000000"/>
                <w:kern w:val="0"/>
                <w:szCs w:val="21"/>
              </w:rPr>
            </w:pPr>
            <w:r>
              <w:rPr>
                <w:rFonts w:hint="eastAsia" w:ascii="宋体" w:hAnsi="宋体" w:eastAsia="宋体" w:cs="宋体"/>
                <w:color w:val="000000"/>
                <w:kern w:val="0"/>
                <w:szCs w:val="21"/>
              </w:rPr>
              <w:t>支持虚拟补丁功能，支持导入appscan、w3af等第三方扫描器的扫描结果生成WAF的规则，对此类网站漏洞直接防护；（提供功能截图）</w:t>
            </w:r>
            <w:r>
              <w:rPr>
                <w:rFonts w:ascii="宋体" w:hAnsi="宋体" w:eastAsia="宋体" w:cs="宋体"/>
                <w:color w:val="000000"/>
                <w:kern w:val="0"/>
                <w:szCs w:val="21"/>
              </w:rPr>
              <w:t xml:space="preserve"> </w:t>
            </w:r>
          </w:p>
          <w:p>
            <w:pPr>
              <w:numPr>
                <w:ilvl w:val="0"/>
                <w:numId w:val="1"/>
              </w:numPr>
              <w:spacing w:line="400" w:lineRule="exact"/>
              <w:rPr>
                <w:rFonts w:ascii="宋体" w:hAnsi="宋体" w:eastAsia="宋体" w:cs="宋体"/>
                <w:color w:val="000000"/>
                <w:kern w:val="0"/>
                <w:szCs w:val="21"/>
              </w:rPr>
            </w:pPr>
            <w:r>
              <w:rPr>
                <w:rFonts w:hint="eastAsia" w:ascii="宋体" w:hAnsi="宋体" w:eastAsia="宋体" w:cs="宋体"/>
                <w:color w:val="000000"/>
                <w:kern w:val="0"/>
                <w:szCs w:val="21"/>
              </w:rPr>
              <w:t>支持基线学习，可以自动学习用户http正常流量阈值模型，并给出推荐阈值配置项；</w:t>
            </w:r>
            <w:r>
              <w:rPr>
                <w:rFonts w:ascii="宋体" w:hAnsi="宋体" w:eastAsia="宋体" w:cs="宋体"/>
                <w:color w:val="000000"/>
                <w:kern w:val="0"/>
                <w:szCs w:val="21"/>
              </w:rPr>
              <w:t xml:space="preserve"> </w:t>
            </w:r>
          </w:p>
          <w:p>
            <w:pPr>
              <w:numPr>
                <w:ilvl w:val="0"/>
                <w:numId w:val="1"/>
              </w:numPr>
              <w:spacing w:line="400" w:lineRule="exact"/>
              <w:rPr>
                <w:rFonts w:ascii="宋体" w:hAnsi="宋体" w:eastAsia="宋体" w:cs="宋体"/>
                <w:color w:val="000000"/>
                <w:kern w:val="0"/>
                <w:szCs w:val="21"/>
              </w:rPr>
            </w:pPr>
            <w:r>
              <w:rPr>
                <w:rFonts w:ascii="宋体" w:hAnsi="宋体" w:eastAsia="宋体" w:cs="宋体"/>
                <w:color w:val="000000"/>
                <w:kern w:val="0"/>
                <w:szCs w:val="21"/>
              </w:rPr>
              <w:t>W</w:t>
            </w:r>
            <w:r>
              <w:rPr>
                <w:rFonts w:hint="eastAsia" w:ascii="宋体" w:hAnsi="宋体" w:eastAsia="宋体" w:cs="宋体"/>
                <w:color w:val="000000"/>
                <w:kern w:val="0"/>
                <w:szCs w:val="21"/>
              </w:rPr>
              <w:t>eb界面可以直观查看WAF扩展卡、接口、USB口、管理口、HA口及业务口的运行状态；</w:t>
            </w:r>
          </w:p>
          <w:p>
            <w:pPr>
              <w:numPr>
                <w:ilvl w:val="0"/>
                <w:numId w:val="1"/>
              </w:numPr>
              <w:spacing w:line="400" w:lineRule="exact"/>
              <w:rPr>
                <w:rFonts w:ascii="宋体" w:hAnsi="宋体" w:eastAsia="宋体" w:cs="宋体"/>
                <w:color w:val="000000"/>
                <w:kern w:val="0"/>
                <w:szCs w:val="21"/>
              </w:rPr>
            </w:pPr>
            <w:r>
              <w:rPr>
                <w:rFonts w:hint="eastAsia" w:ascii="宋体" w:hAnsi="宋体" w:eastAsia="宋体" w:cs="Times New Roman"/>
                <w:color w:val="000000"/>
                <w:szCs w:val="21"/>
              </w:rPr>
              <w:t>支持攻击报表邮件告警，可以定时将攻击报表间隔定一定时间后定时发送至指定邮箱；</w:t>
            </w:r>
            <w:r>
              <w:rPr>
                <w:rFonts w:ascii="宋体" w:hAnsi="宋体" w:eastAsia="宋体" w:cs="宋体"/>
                <w:color w:val="000000"/>
                <w:kern w:val="0"/>
                <w:szCs w:val="21"/>
              </w:rPr>
              <w:t xml:space="preserve"> </w:t>
            </w:r>
          </w:p>
          <w:p>
            <w:pPr>
              <w:numPr>
                <w:ilvl w:val="0"/>
                <w:numId w:val="1"/>
              </w:numPr>
              <w:spacing w:line="400" w:lineRule="exact"/>
              <w:rPr>
                <w:rFonts w:ascii="宋体" w:hAnsi="宋体" w:eastAsia="宋体" w:cs="Times New Roman"/>
                <w:szCs w:val="21"/>
              </w:rPr>
            </w:pPr>
            <w:r>
              <w:rPr>
                <w:rFonts w:hint="eastAsia" w:ascii="宋体" w:hAnsi="宋体" w:eastAsia="宋体" w:cs="Times New Roman"/>
                <w:szCs w:val="21"/>
              </w:rPr>
              <w:t>支持双机热备，主备模式、主主负载均衡模式、连接保护模式；</w:t>
            </w:r>
          </w:p>
          <w:p>
            <w:pPr>
              <w:numPr>
                <w:ilvl w:val="0"/>
                <w:numId w:val="1"/>
              </w:numPr>
              <w:spacing w:line="400" w:lineRule="exact"/>
              <w:rPr>
                <w:rFonts w:ascii="宋体" w:hAnsi="宋体" w:eastAsia="宋体" w:cs="Times New Roman"/>
                <w:szCs w:val="21"/>
              </w:rPr>
            </w:pPr>
            <w:r>
              <w:rPr>
                <w:rFonts w:hint="eastAsia" w:ascii="宋体" w:hAnsi="宋体" w:eastAsia="宋体" w:cs="Times New Roman"/>
                <w:szCs w:val="21"/>
              </w:rPr>
              <w:t>支持D</w:t>
            </w:r>
            <w:r>
              <w:rPr>
                <w:rFonts w:ascii="宋体" w:hAnsi="宋体" w:eastAsia="宋体" w:cs="Times New Roman"/>
                <w:szCs w:val="21"/>
              </w:rPr>
              <w:t>D</w:t>
            </w:r>
            <w:r>
              <w:rPr>
                <w:rFonts w:hint="eastAsia" w:ascii="宋体" w:hAnsi="宋体" w:eastAsia="宋体" w:cs="Times New Roman"/>
                <w:szCs w:val="21"/>
              </w:rPr>
              <w:t>o</w:t>
            </w:r>
            <w:r>
              <w:rPr>
                <w:rFonts w:ascii="宋体" w:hAnsi="宋体" w:eastAsia="宋体" w:cs="Times New Roman"/>
                <w:szCs w:val="21"/>
              </w:rPr>
              <w:t>S</w:t>
            </w:r>
            <w:r>
              <w:rPr>
                <w:rFonts w:hint="eastAsia" w:ascii="宋体" w:hAnsi="宋体" w:eastAsia="宋体" w:cs="Times New Roman"/>
                <w:szCs w:val="21"/>
              </w:rPr>
              <w:t>攻击动态黑名单功能，检测到异常访问流量客户端加入黑名单；</w:t>
            </w:r>
          </w:p>
          <w:p>
            <w:pPr>
              <w:numPr>
                <w:ilvl w:val="0"/>
                <w:numId w:val="1"/>
              </w:numPr>
              <w:spacing w:line="400" w:lineRule="exact"/>
              <w:rPr>
                <w:rFonts w:ascii="宋体" w:hAnsi="宋体" w:eastAsia="宋体" w:cs="Times New Roman"/>
                <w:szCs w:val="21"/>
              </w:rPr>
            </w:pPr>
            <w:r>
              <w:rPr>
                <w:rFonts w:hint="eastAsia" w:ascii="宋体" w:hAnsi="宋体" w:eastAsia="宋体" w:cs="Times New Roman"/>
                <w:szCs w:val="21"/>
              </w:rPr>
              <w:t>可以查看通过WAF的所有IPV4及IPV6客户端和服务器IP地址及端口连接数及状态；</w:t>
            </w:r>
          </w:p>
          <w:p>
            <w:pPr>
              <w:numPr>
                <w:ilvl w:val="0"/>
                <w:numId w:val="1"/>
              </w:numPr>
              <w:spacing w:line="400" w:lineRule="exact"/>
              <w:rPr>
                <w:rFonts w:ascii="宋体" w:hAnsi="宋体" w:eastAsia="宋体" w:cs="Times New Roman"/>
                <w:szCs w:val="21"/>
              </w:rPr>
            </w:pPr>
            <w:r>
              <w:rPr>
                <w:rFonts w:hint="eastAsia" w:ascii="宋体" w:hAnsi="宋体" w:eastAsia="宋体" w:cs="Times New Roman"/>
                <w:szCs w:val="21"/>
              </w:rPr>
              <w:t>支持扫描防护：通过人机识别方式，进行恶意扫描智能检测；支持扫描防护阈值设置和扫描IP的阻断周期设置；</w:t>
            </w:r>
          </w:p>
          <w:p>
            <w:pPr>
              <w:numPr>
                <w:ilvl w:val="0"/>
                <w:numId w:val="1"/>
              </w:numPr>
              <w:spacing w:line="400" w:lineRule="exact"/>
              <w:rPr>
                <w:rFonts w:ascii="宋体" w:hAnsi="宋体" w:eastAsia="宋体" w:cs="Times New Roman"/>
                <w:szCs w:val="21"/>
              </w:rPr>
            </w:pPr>
            <w:r>
              <w:rPr>
                <w:rFonts w:hint="eastAsia" w:ascii="宋体" w:hAnsi="宋体" w:eastAsia="宋体" w:cs="Times New Roman"/>
                <w:szCs w:val="21"/>
              </w:rPr>
              <w:t>支持日志敏感信息脱敏，记录日志时将敏感数据替换为某个特定字符。</w:t>
            </w:r>
          </w:p>
        </w:tc>
      </w:tr>
    </w:tbl>
    <w:p>
      <w:pPr>
        <w:keepNext/>
        <w:keepLines/>
        <w:spacing w:before="260" w:after="260" w:line="416" w:lineRule="auto"/>
        <w:ind w:firstLine="420" w:firstLineChars="200"/>
        <w:outlineLvl w:val="1"/>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网络准入系统</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283"/>
        <w:gridCol w:w="6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2</w:t>
            </w:r>
          </w:p>
        </w:tc>
        <w:tc>
          <w:tcPr>
            <w:tcW w:w="1283" w:type="dxa"/>
            <w:shd w:val="clear" w:color="auto" w:fill="auto"/>
            <w:vAlign w:val="center"/>
          </w:tcPr>
          <w:p>
            <w:pPr>
              <w:rPr>
                <w:rFonts w:ascii="宋体" w:hAnsi="宋体" w:eastAsia="宋体" w:cs="Times New Roman"/>
                <w:szCs w:val="21"/>
              </w:rPr>
            </w:pPr>
            <w:r>
              <w:rPr>
                <w:rFonts w:hint="eastAsia" w:ascii="宋体" w:hAnsi="宋体" w:eastAsia="宋体" w:cs="Times New Roman"/>
                <w:szCs w:val="21"/>
              </w:rPr>
              <w:t xml:space="preserve">网络准入系统 </w:t>
            </w:r>
            <w:r>
              <w:rPr>
                <w:rFonts w:ascii="宋体" w:hAnsi="宋体" w:eastAsia="宋体" w:cs="Times New Roman"/>
                <w:szCs w:val="21"/>
              </w:rPr>
              <w:t xml:space="preserve"> 1</w:t>
            </w:r>
            <w:r>
              <w:rPr>
                <w:rFonts w:hint="eastAsia" w:ascii="宋体" w:hAnsi="宋体" w:eastAsia="宋体" w:cs="Times New Roman"/>
                <w:szCs w:val="21"/>
              </w:rPr>
              <w:t>套</w:t>
            </w:r>
          </w:p>
        </w:tc>
        <w:tc>
          <w:tcPr>
            <w:tcW w:w="6227" w:type="dxa"/>
            <w:shd w:val="clear" w:color="auto" w:fill="auto"/>
          </w:tcPr>
          <w:p>
            <w:pPr>
              <w:rPr>
                <w:rFonts w:ascii="宋体" w:hAnsi="宋体" w:eastAsia="宋体" w:cs="Times New Roman"/>
                <w:b/>
                <w:szCs w:val="21"/>
              </w:rPr>
            </w:pPr>
            <w:r>
              <w:rPr>
                <w:rFonts w:hint="eastAsia" w:ascii="宋体" w:hAnsi="宋体" w:eastAsia="宋体" w:cs="Times New Roman"/>
                <w:b/>
                <w:szCs w:val="21"/>
              </w:rPr>
              <w:t>一、硬件性能</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1U设备，≥6个千兆电口，≥2个千兆光口，≥1组BYPASS接口,单电源,2个扩展槽位；</w:t>
            </w:r>
          </w:p>
          <w:p>
            <w:pPr>
              <w:numPr>
                <w:ilvl w:val="0"/>
                <w:numId w:val="2"/>
              </w:numPr>
              <w:spacing w:line="360" w:lineRule="auto"/>
              <w:rPr>
                <w:rFonts w:ascii="宋体" w:hAnsi="宋体" w:eastAsia="宋体" w:cs="Times New Roman"/>
                <w:szCs w:val="21"/>
              </w:rPr>
            </w:pPr>
            <w:r>
              <w:rPr>
                <w:rFonts w:ascii="宋体" w:hAnsi="宋体" w:eastAsia="宋体" w:cs="Times New Roman"/>
                <w:szCs w:val="21"/>
              </w:rPr>
              <w:t>配置</w:t>
            </w:r>
            <w:r>
              <w:rPr>
                <w:rFonts w:hint="eastAsia" w:ascii="宋体" w:hAnsi="宋体" w:eastAsia="宋体" w:cs="Times New Roman"/>
                <w:szCs w:val="21"/>
              </w:rPr>
              <w:t>≥1</w:t>
            </w:r>
            <w:r>
              <w:rPr>
                <w:rFonts w:ascii="宋体" w:hAnsi="宋体" w:eastAsia="宋体" w:cs="Times New Roman"/>
                <w:szCs w:val="21"/>
              </w:rPr>
              <w:t>000个准入授权</w:t>
            </w:r>
            <w:r>
              <w:rPr>
                <w:rFonts w:hint="eastAsia" w:ascii="宋体" w:hAnsi="宋体" w:eastAsia="宋体" w:cs="Times New Roman"/>
                <w:szCs w:val="21"/>
              </w:rPr>
              <w:t>；提供3年原厂硬件质保服务</w:t>
            </w:r>
          </w:p>
          <w:p>
            <w:pPr>
              <w:rPr>
                <w:rFonts w:ascii="宋体" w:hAnsi="宋体" w:eastAsia="宋体" w:cs="Times New Roman"/>
                <w:b/>
                <w:szCs w:val="21"/>
              </w:rPr>
            </w:pPr>
            <w:r>
              <w:rPr>
                <w:rFonts w:hint="eastAsia" w:ascii="宋体" w:hAnsi="宋体" w:eastAsia="宋体" w:cs="Times New Roman"/>
                <w:b/>
                <w:szCs w:val="21"/>
              </w:rPr>
              <w:t>二、产品功能</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系统部署简单，支持旁路或串联部署，支持命令行与B/S模式管理，提供系统首页图形化展示功能，可展示设备面板状态、CPU状态、内存状态、硬盘状态、在线用户、报警统计等信息。</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可靠性：设备提供硬件BYPASS功能，支持双操作系统冷备、双机热备，在单机模式下，提供独立系统逃生工具。</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客户端兼容：支持windows XP、32位及64位windows7/8/8.1/10/server2008操作系统；浏览器：浏览器插件兼容IE8及以上版本。</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支持802.1X、Portal、透明网关、策略路由等多种准入模式选择，单设备情况下可进行混合准入模式应用。（提供功能截图）</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提供客户端认证及手机短信认证方式，客户端认证可与第三方AD域、LDAP服务器进行用户信息同步；手机短信认证可与短信服务器联动，在终端入网认证时下发验证码。</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支持终端信息绑定认证，可检查入网终端IP、终端MAC、用户名、交换机IP、交换机端口、终端硬件ID等多要素信息。</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支持访客入网管理，访客接入由受访人员（固定用户）协助其进行注册、账户创建等操作，并提供临时入网终端有效期管理，可设置在网时限。</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支持准入设备黑/白名单管理，可根据所应用的不同准入模式，设置黑/白名单终端IP、MAC、协议、端口、VLAN号等信息，以便针对该名单中设备进行入网控制。</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入网终端健康检查，对检查项可进行权重、修复向导自定义设置，检查项包括：系统时间检查、系统运行时长检查、Guest用户检查、AD域域名检查、Windows文件共享检查、Windows防火墙检查、必须/禁止运行进程检查、必须/禁止运行服务检查、必须/禁止安装软件检查、Windows桌面屏保检查、杀毒软件版本（小红伞、瑞星、金山毒霸、卡巴斯基、诺顿、360杀毒）等。</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支持终端接口外设监控，可对终端所有接口外设实施启停用控制，对USB设备添加USB硬件ID和设备信息，可设置例外项。</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支持终端非法外联监控，可判断通过http、telnet、ping三种方式检测主机违规外联行为，给予违规处理方式（不处理、重启、断网、提示），并信息提示。</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支持资产管理功能，可管理不同类型入网资产；提供交换机网络设备管理功能，可查看交换机设备接口状态、主机连接等详细信息。对入网资产可发现、可审批入网。</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提供终端解绑、资产登录、报警、系统、终端认证、健康检查等详细日志信息，可采取图形化方式统计分析，并自定义模板进行报表定时输出。</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系统具备良好的使用体验与可管理性，支持系统界面与登录界面LOGO的自定义导入，可自由设置产品显示名称。管理员可进行准入系统的维护、升级、诊断分析等操作，支持图形化方式展示各类型数据所占磁盘状态，并提供备份、恢复、清理功能。</w:t>
            </w:r>
          </w:p>
        </w:tc>
      </w:tr>
    </w:tbl>
    <w:p>
      <w:pPr>
        <w:rPr>
          <w:rFonts w:ascii="Calibri" w:hAnsi="Calibri" w:eastAsia="宋体" w:cs="Times New Roman"/>
        </w:rPr>
      </w:pPr>
    </w:p>
    <w:p>
      <w:pPr>
        <w:keepNext/>
        <w:keepLines/>
        <w:spacing w:before="260" w:after="260" w:line="416" w:lineRule="auto"/>
        <w:ind w:firstLine="420" w:firstLineChars="200"/>
        <w:outlineLvl w:val="1"/>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w:t>
      </w:r>
      <w:r>
        <w:rPr>
          <w:rFonts w:hint="eastAsia" w:ascii="宋体" w:hAnsi="宋体" w:eastAsia="宋体" w:cs="Times New Roman"/>
          <w:szCs w:val="21"/>
        </w:rPr>
        <w:t>日志审计</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283"/>
        <w:gridCol w:w="6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3</w:t>
            </w:r>
          </w:p>
        </w:tc>
        <w:tc>
          <w:tcPr>
            <w:tcW w:w="1283"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 xml:space="preserve">日志审计 </w:t>
            </w:r>
          </w:p>
          <w:p>
            <w:pPr>
              <w:spacing w:line="400" w:lineRule="exact"/>
              <w:jc w:val="center"/>
              <w:rPr>
                <w:rFonts w:ascii="宋体" w:hAnsi="宋体" w:eastAsia="宋体" w:cs="Times New Roman"/>
                <w:szCs w:val="21"/>
              </w:rPr>
            </w:pPr>
            <w:r>
              <w:rPr>
                <w:rFonts w:hint="eastAsia" w:ascii="宋体" w:hAnsi="宋体" w:eastAsia="宋体" w:cs="Times New Roman"/>
                <w:szCs w:val="21"/>
              </w:rPr>
              <w:t>1套</w:t>
            </w:r>
          </w:p>
        </w:tc>
        <w:tc>
          <w:tcPr>
            <w:tcW w:w="6227" w:type="dxa"/>
            <w:shd w:val="clear" w:color="auto" w:fill="auto"/>
          </w:tcPr>
          <w:p>
            <w:pPr>
              <w:spacing w:line="400" w:lineRule="exact"/>
              <w:rPr>
                <w:rFonts w:ascii="宋体" w:hAnsi="宋体" w:eastAsia="宋体" w:cs="Times New Roman"/>
                <w:b/>
                <w:szCs w:val="21"/>
              </w:rPr>
            </w:pPr>
            <w:r>
              <w:rPr>
                <w:rFonts w:hint="eastAsia" w:ascii="宋体" w:hAnsi="宋体" w:eastAsia="宋体" w:cs="Times New Roman"/>
                <w:b/>
                <w:szCs w:val="21"/>
              </w:rPr>
              <w:t>一、基本要求</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纯软件交付，默认至少含日志收集、存储、查询、统计分析、告警响应等功能，默认至少包含</w:t>
            </w:r>
            <w:r>
              <w:rPr>
                <w:rFonts w:ascii="宋体" w:hAnsi="宋体" w:eastAsia="宋体" w:cs="Times New Roman"/>
                <w:szCs w:val="21"/>
              </w:rPr>
              <w:t>100</w:t>
            </w:r>
            <w:r>
              <w:rPr>
                <w:rFonts w:hint="eastAsia" w:ascii="宋体" w:hAnsi="宋体" w:eastAsia="宋体" w:cs="Times New Roman"/>
                <w:szCs w:val="21"/>
              </w:rPr>
              <w:t>个日志源授权。</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日志采集处理均值≥20000EPS，峰值≥35000EPS。</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支持安全设备、网络设备、中间件、服务器、数据库、操作系统、业务系统等不少于</w:t>
            </w:r>
            <w:r>
              <w:rPr>
                <w:rFonts w:ascii="宋体" w:hAnsi="宋体" w:eastAsia="宋体" w:cs="Times New Roman"/>
                <w:szCs w:val="21"/>
              </w:rPr>
              <w:t>26</w:t>
            </w:r>
            <w:r>
              <w:rPr>
                <w:rFonts w:hint="eastAsia" w:ascii="宋体" w:hAnsi="宋体" w:eastAsia="宋体" w:cs="Times New Roman"/>
                <w:szCs w:val="21"/>
              </w:rPr>
              <w:t>类</w:t>
            </w:r>
            <w:r>
              <w:rPr>
                <w:rFonts w:ascii="宋体" w:hAnsi="宋体" w:eastAsia="宋体" w:cs="Times New Roman"/>
                <w:szCs w:val="21"/>
              </w:rPr>
              <w:t>300</w:t>
            </w:r>
            <w:r>
              <w:rPr>
                <w:rFonts w:hint="eastAsia" w:ascii="宋体" w:hAnsi="宋体" w:eastAsia="宋体" w:cs="Times New Roman"/>
                <w:szCs w:val="21"/>
              </w:rPr>
              <w:t>种日志对象的日志数据采集。</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数据存储能力：压缩加密存储，压缩比不低10:1，日志存储不低于10000条/M；</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支持IPv6/IPv4双栈环境部署，对IPv6/IPv4日志源的日志进行高速采集。</w:t>
            </w:r>
          </w:p>
          <w:p>
            <w:pPr>
              <w:spacing w:line="400" w:lineRule="exact"/>
              <w:rPr>
                <w:rFonts w:ascii="宋体" w:hAnsi="宋体" w:eastAsia="宋体" w:cs="Times New Roman"/>
                <w:b/>
                <w:szCs w:val="21"/>
              </w:rPr>
            </w:pPr>
            <w:r>
              <w:rPr>
                <w:rFonts w:hint="eastAsia" w:ascii="宋体" w:hAnsi="宋体" w:eastAsia="宋体" w:cs="Times New Roman"/>
                <w:b/>
                <w:szCs w:val="21"/>
              </w:rPr>
              <w:t>二、产品功能</w:t>
            </w:r>
          </w:p>
          <w:p>
            <w:pPr>
              <w:numPr>
                <w:ilvl w:val="0"/>
                <w:numId w:val="3"/>
              </w:numPr>
              <w:spacing w:line="400" w:lineRule="exact"/>
              <w:rPr>
                <w:rFonts w:ascii="宋体" w:hAnsi="宋体" w:eastAsia="宋体" w:cs="Times New Roman"/>
                <w:szCs w:val="21"/>
              </w:rPr>
            </w:pPr>
            <w:r>
              <w:rPr>
                <w:rFonts w:ascii="宋体" w:hAnsi="宋体" w:eastAsia="宋体" w:cs="Times New Roman"/>
                <w:szCs w:val="21"/>
              </w:rPr>
              <w:t>基于时间轴展示数据分布</w:t>
            </w:r>
            <w:r>
              <w:rPr>
                <w:rFonts w:hint="eastAsia" w:ascii="宋体" w:hAnsi="宋体" w:eastAsia="宋体" w:cs="Times New Roman"/>
                <w:szCs w:val="21"/>
              </w:rPr>
              <w:t>，</w:t>
            </w:r>
            <w:r>
              <w:rPr>
                <w:rFonts w:ascii="宋体" w:hAnsi="宋体" w:eastAsia="宋体" w:cs="Times New Roman"/>
                <w:szCs w:val="21"/>
              </w:rPr>
              <w:t>能够通过时间轴进行查询分析</w:t>
            </w:r>
            <w:r>
              <w:rPr>
                <w:rFonts w:hint="eastAsia" w:ascii="宋体" w:hAnsi="宋体" w:eastAsia="宋体" w:cs="Times New Roman"/>
                <w:szCs w:val="21"/>
              </w:rPr>
              <w:t>；</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支持首页展示当日告警情况统计，支持展示当日最新告警</w:t>
            </w:r>
            <w:r>
              <w:rPr>
                <w:rFonts w:ascii="宋体" w:hAnsi="宋体" w:eastAsia="宋体" w:cs="Times New Roman"/>
                <w:szCs w:val="21"/>
              </w:rPr>
              <w:t>TOP10</w:t>
            </w:r>
            <w:r>
              <w:rPr>
                <w:rFonts w:hint="eastAsia" w:ascii="宋体" w:hAnsi="宋体" w:eastAsia="宋体" w:cs="Times New Roman"/>
                <w:szCs w:val="21"/>
              </w:rPr>
              <w:t>、</w:t>
            </w:r>
            <w:r>
              <w:rPr>
                <w:rFonts w:ascii="宋体" w:hAnsi="宋体" w:eastAsia="宋体" w:cs="Times New Roman"/>
                <w:szCs w:val="21"/>
              </w:rPr>
              <w:t>TOP30</w:t>
            </w:r>
            <w:r>
              <w:rPr>
                <w:rFonts w:hint="eastAsia" w:ascii="宋体" w:hAnsi="宋体" w:eastAsia="宋体" w:cs="Times New Roman"/>
                <w:szCs w:val="21"/>
              </w:rPr>
              <w:t>和</w:t>
            </w:r>
            <w:r>
              <w:rPr>
                <w:rFonts w:ascii="宋体" w:hAnsi="宋体" w:eastAsia="宋体" w:cs="Times New Roman"/>
                <w:szCs w:val="21"/>
              </w:rPr>
              <w:t>TOP50</w:t>
            </w:r>
            <w:r>
              <w:rPr>
                <w:rFonts w:hint="eastAsia" w:ascii="宋体" w:hAnsi="宋体" w:eastAsia="宋体" w:cs="Times New Roman"/>
                <w:szCs w:val="21"/>
              </w:rPr>
              <w:t>；</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支持实时自动刷新每个日志源的实时日志列表，支持在实时日志界面通过选择过滤器来监视所关注的特定类型的日志；</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支持对文本类型日志源进行限速采集，匀速采集日志，防止对系统资源产生突发冲击；（提供功能截图）</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支持百亿级数据交互式多条件查询，百亿级数据查询响应时间小于10s；</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支持对日志流量非常大但是日志重要程度低的</w:t>
            </w:r>
            <w:r>
              <w:rPr>
                <w:rFonts w:ascii="宋体" w:hAnsi="宋体" w:eastAsia="宋体" w:cs="Times New Roman"/>
                <w:szCs w:val="21"/>
              </w:rPr>
              <w:t>syslog</w:t>
            </w:r>
            <w:r>
              <w:rPr>
                <w:rFonts w:hint="eastAsia" w:ascii="宋体" w:hAnsi="宋体" w:eastAsia="宋体" w:cs="Times New Roman"/>
                <w:szCs w:val="21"/>
              </w:rPr>
              <w:t>类型日志源进行限制接收速率，降低对系统资源的占用，保障重要日志的收集；</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支持展示日志查询情况，包括查询条件命中数、日志总量、查询耗时等信息；</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支持首页以全国地图、全球地图展示最近</w:t>
            </w:r>
            <w:r>
              <w:rPr>
                <w:rFonts w:ascii="宋体" w:hAnsi="宋体" w:eastAsia="宋体" w:cs="Times New Roman"/>
                <w:szCs w:val="21"/>
              </w:rPr>
              <w:t>24</w:t>
            </w:r>
            <w:r>
              <w:rPr>
                <w:rFonts w:hint="eastAsia" w:ascii="宋体" w:hAnsi="宋体" w:eastAsia="宋体" w:cs="Times New Roman"/>
                <w:szCs w:val="21"/>
              </w:rPr>
              <w:t>小时日志访问源和访问目的的分布，能根据颜色区分访问来源和访问目的数据量大小，能够通过首页地图快速下钻查询指定区域的日志详细信息；</w:t>
            </w:r>
            <w:r>
              <w:rPr>
                <w:rFonts w:ascii="宋体" w:hAnsi="宋体" w:eastAsia="宋体" w:cs="Times New Roman"/>
                <w:szCs w:val="21"/>
              </w:rPr>
              <w:t xml:space="preserve"> </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支持根据设备重要程度设置独立设置每个被采集源的日志、报表数据存储时间为</w:t>
            </w:r>
            <w:r>
              <w:rPr>
                <w:rFonts w:ascii="宋体" w:hAnsi="宋体" w:eastAsia="宋体" w:cs="Times New Roman"/>
                <w:szCs w:val="21"/>
              </w:rPr>
              <w:t>1</w:t>
            </w:r>
            <w:r>
              <w:rPr>
                <w:rFonts w:hint="eastAsia" w:ascii="宋体" w:hAnsi="宋体" w:eastAsia="宋体" w:cs="Times New Roman"/>
                <w:szCs w:val="21"/>
              </w:rPr>
              <w:t>个月、</w:t>
            </w:r>
            <w:r>
              <w:rPr>
                <w:rFonts w:ascii="宋体" w:hAnsi="宋体" w:eastAsia="宋体" w:cs="Times New Roman"/>
                <w:szCs w:val="21"/>
              </w:rPr>
              <w:t>3</w:t>
            </w:r>
            <w:r>
              <w:rPr>
                <w:rFonts w:hint="eastAsia" w:ascii="宋体" w:hAnsi="宋体" w:eastAsia="宋体" w:cs="Times New Roman"/>
                <w:szCs w:val="21"/>
              </w:rPr>
              <w:t>个月、</w:t>
            </w:r>
            <w:r>
              <w:rPr>
                <w:rFonts w:ascii="宋体" w:hAnsi="宋体" w:eastAsia="宋体" w:cs="Times New Roman"/>
                <w:szCs w:val="21"/>
              </w:rPr>
              <w:t>6</w:t>
            </w:r>
            <w:r>
              <w:rPr>
                <w:rFonts w:hint="eastAsia" w:ascii="宋体" w:hAnsi="宋体" w:eastAsia="宋体" w:cs="Times New Roman"/>
                <w:szCs w:val="21"/>
              </w:rPr>
              <w:t>个月和永久保存等参数；（提供功能截图）</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支持在日志查询结果上针对源</w:t>
            </w:r>
            <w:r>
              <w:rPr>
                <w:rFonts w:ascii="宋体" w:hAnsi="宋体" w:eastAsia="宋体" w:cs="Times New Roman"/>
                <w:szCs w:val="21"/>
              </w:rPr>
              <w:t>IP</w:t>
            </w:r>
            <w:r>
              <w:rPr>
                <w:rFonts w:hint="eastAsia" w:ascii="宋体" w:hAnsi="宋体" w:eastAsia="宋体" w:cs="Times New Roman"/>
                <w:szCs w:val="21"/>
              </w:rPr>
              <w:t>、目的</w:t>
            </w:r>
            <w:r>
              <w:rPr>
                <w:rFonts w:ascii="宋体" w:hAnsi="宋体" w:eastAsia="宋体" w:cs="Times New Roman"/>
                <w:szCs w:val="21"/>
              </w:rPr>
              <w:t>IP</w:t>
            </w:r>
            <w:r>
              <w:rPr>
                <w:rFonts w:hint="eastAsia" w:ascii="宋体" w:hAnsi="宋体" w:eastAsia="宋体" w:cs="Times New Roman"/>
                <w:szCs w:val="21"/>
              </w:rPr>
              <w:t>、操作、源端口、目的端口等字段一键快速统计，以饼图方式展示，对于源</w:t>
            </w:r>
            <w:r>
              <w:rPr>
                <w:rFonts w:ascii="宋体" w:hAnsi="宋体" w:eastAsia="宋体" w:cs="Times New Roman"/>
                <w:szCs w:val="21"/>
              </w:rPr>
              <w:t>IP</w:t>
            </w:r>
            <w:r>
              <w:rPr>
                <w:rFonts w:hint="eastAsia" w:ascii="宋体" w:hAnsi="宋体" w:eastAsia="宋体" w:cs="Times New Roman"/>
                <w:szCs w:val="21"/>
              </w:rPr>
              <w:t>和目的</w:t>
            </w:r>
            <w:r>
              <w:rPr>
                <w:rFonts w:ascii="宋体" w:hAnsi="宋体" w:eastAsia="宋体" w:cs="Times New Roman"/>
                <w:szCs w:val="21"/>
              </w:rPr>
              <w:t>IP</w:t>
            </w:r>
            <w:r>
              <w:rPr>
                <w:rFonts w:hint="eastAsia" w:ascii="宋体" w:hAnsi="宋体" w:eastAsia="宋体" w:cs="Times New Roman"/>
                <w:szCs w:val="21"/>
              </w:rPr>
              <w:t>（公网地址）还支持以中国地图、世界地图方式展示，在统计图上能够进行点击下钻查询对应条件的日志结果；</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支持为不同类型日志设置不同的查询条件和显示条件；</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系统内置上百种报表模版，支持自动实现智能报表创建，每添加一个日志源，系统自动分析日志源类型进行相应报表创建，无需人工干预，报表和资产一一对应；</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支持对重点日志源的关注设置，并可通过关注列表快速查看重点日志源的状态、当日日志量、采集日志总量、最近接收时间、业务组等基础信息；</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支持基于拓扑图的日志源相关数据信息快速查看；支持通过拓扑下钻查看对应日志源的日志、报表、告警数据；</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支持将常用</w:t>
            </w:r>
            <w:r>
              <w:rPr>
                <w:rFonts w:ascii="宋体" w:hAnsi="宋体" w:eastAsia="宋体" w:cs="Times New Roman"/>
                <w:szCs w:val="21"/>
              </w:rPr>
              <w:t>IP</w:t>
            </w:r>
            <w:r>
              <w:rPr>
                <w:rFonts w:hint="eastAsia" w:ascii="宋体" w:hAnsi="宋体" w:eastAsia="宋体" w:cs="Times New Roman"/>
                <w:szCs w:val="21"/>
              </w:rPr>
              <w:t>地址或</w:t>
            </w:r>
            <w:r>
              <w:rPr>
                <w:rFonts w:ascii="宋体" w:hAnsi="宋体" w:eastAsia="宋体" w:cs="Times New Roman"/>
                <w:szCs w:val="21"/>
              </w:rPr>
              <w:t>IP</w:t>
            </w:r>
            <w:r>
              <w:rPr>
                <w:rFonts w:hint="eastAsia" w:ascii="宋体" w:hAnsi="宋体" w:eastAsia="宋体" w:cs="Times New Roman"/>
                <w:szCs w:val="21"/>
              </w:rPr>
              <w:t>地址网段标记为自定义名称，在日志查询界面可以在</w:t>
            </w:r>
            <w:r>
              <w:rPr>
                <w:rFonts w:ascii="宋体" w:hAnsi="宋体" w:eastAsia="宋体" w:cs="Times New Roman"/>
                <w:szCs w:val="21"/>
              </w:rPr>
              <w:t>IP</w:t>
            </w:r>
            <w:r>
              <w:rPr>
                <w:rFonts w:hint="eastAsia" w:ascii="宋体" w:hAnsi="宋体" w:eastAsia="宋体" w:cs="Times New Roman"/>
                <w:szCs w:val="21"/>
              </w:rPr>
              <w:t>列中对应悬浮显示自定义名称；</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支持按照日志源名称、</w:t>
            </w:r>
            <w:r>
              <w:rPr>
                <w:rFonts w:ascii="宋体" w:hAnsi="宋体" w:eastAsia="宋体" w:cs="Times New Roman"/>
                <w:szCs w:val="21"/>
              </w:rPr>
              <w:t>IP</w:t>
            </w:r>
            <w:r>
              <w:rPr>
                <w:rFonts w:hint="eastAsia" w:ascii="宋体" w:hAnsi="宋体" w:eastAsia="宋体" w:cs="Times New Roman"/>
                <w:szCs w:val="21"/>
              </w:rPr>
              <w:t>地址、日志源类型、接受时间及状态等维度对日志源列表进行排序。</w:t>
            </w:r>
          </w:p>
        </w:tc>
      </w:tr>
    </w:tbl>
    <w:p>
      <w:pPr>
        <w:keepNext/>
        <w:keepLines/>
        <w:outlineLvl w:val="0"/>
        <w:rPr>
          <w:rFonts w:ascii="宋体" w:hAnsi="宋体" w:eastAsia="宋体" w:cs="Times New Roman"/>
          <w:kern w:val="44"/>
          <w:szCs w:val="21"/>
        </w:rPr>
      </w:pPr>
      <w:r>
        <w:rPr>
          <w:rFonts w:hint="eastAsia" w:ascii="宋体" w:hAnsi="宋体" w:eastAsia="宋体" w:cs="Times New Roman"/>
          <w:kern w:val="44"/>
          <w:szCs w:val="21"/>
        </w:rPr>
        <w:t>（二）数据灾备部分</w:t>
      </w:r>
    </w:p>
    <w:p>
      <w:pPr>
        <w:keepNext/>
        <w:keepLines/>
        <w:outlineLvl w:val="0"/>
        <w:rPr>
          <w:rFonts w:ascii="宋体" w:hAnsi="宋体" w:eastAsia="宋体" w:cs="Times New Roman"/>
          <w:kern w:val="44"/>
          <w:szCs w:val="21"/>
        </w:rPr>
      </w:pPr>
      <w:r>
        <w:rPr>
          <w:rFonts w:hint="eastAsia" w:ascii="宋体" w:hAnsi="宋体" w:eastAsia="宋体" w:cs="Times New Roman"/>
          <w:szCs w:val="21"/>
        </w:rPr>
        <w:t>1.千兆交换机</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750"/>
        <w:gridCol w:w="656"/>
        <w:gridCol w:w="6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4</w:t>
            </w:r>
          </w:p>
        </w:tc>
        <w:tc>
          <w:tcPr>
            <w:tcW w:w="440" w:type="pct"/>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千兆交换机</w:t>
            </w:r>
          </w:p>
        </w:tc>
        <w:tc>
          <w:tcPr>
            <w:tcW w:w="385" w:type="pct"/>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1台</w:t>
            </w:r>
          </w:p>
        </w:tc>
        <w:tc>
          <w:tcPr>
            <w:tcW w:w="3884" w:type="pct"/>
            <w:shd w:val="clear" w:color="auto" w:fill="auto"/>
          </w:tcPr>
          <w:p>
            <w:pPr>
              <w:spacing w:line="400" w:lineRule="exact"/>
              <w:rPr>
                <w:rFonts w:ascii="宋体" w:hAnsi="宋体" w:eastAsia="宋体" w:cs="Times New Roman"/>
                <w:b/>
                <w:szCs w:val="21"/>
              </w:rPr>
            </w:pPr>
            <w:r>
              <w:rPr>
                <w:rFonts w:hint="eastAsia" w:ascii="宋体" w:hAnsi="宋体" w:eastAsia="宋体" w:cs="Times New Roman"/>
                <w:b/>
                <w:szCs w:val="21"/>
              </w:rPr>
              <w:t>一、基本要求</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 w:val="24"/>
                <w:szCs w:val="21"/>
              </w:rPr>
              <w:t>≥</w:t>
            </w:r>
            <w:r>
              <w:rPr>
                <w:rFonts w:hint="eastAsia" w:ascii="宋体" w:hAnsi="宋体" w:eastAsia="宋体" w:cs="Times New Roman"/>
                <w:szCs w:val="21"/>
              </w:rPr>
              <w:t>24个千兆电口，</w:t>
            </w:r>
            <w:r>
              <w:rPr>
                <w:rFonts w:hint="eastAsia" w:ascii="宋体" w:hAnsi="宋体" w:eastAsia="宋体" w:cs="Times New Roman"/>
                <w:sz w:val="24"/>
                <w:szCs w:val="21"/>
              </w:rPr>
              <w:t>≥</w:t>
            </w:r>
            <w:r>
              <w:rPr>
                <w:rFonts w:hint="eastAsia" w:ascii="宋体" w:hAnsi="宋体" w:eastAsia="宋体" w:cs="Times New Roman"/>
                <w:szCs w:val="21"/>
              </w:rPr>
              <w:t>4个千兆SFP光口，1个Console口，标配电源AC220V，静音风扇，1U高度，标准19英寸机架式安装；</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包转发率132Mpps，交换容量320Gbps，随机包含支架安装包、防水堵头、文档资料</w:t>
            </w:r>
          </w:p>
          <w:p>
            <w:pPr>
              <w:spacing w:line="400" w:lineRule="exact"/>
              <w:rPr>
                <w:rFonts w:ascii="宋体" w:hAnsi="宋体" w:eastAsia="宋体" w:cs="Times New Roman"/>
                <w:szCs w:val="21"/>
              </w:rPr>
            </w:pPr>
            <w:r>
              <w:rPr>
                <w:rFonts w:hint="eastAsia" w:ascii="宋体" w:hAnsi="宋体" w:eastAsia="宋体" w:cs="Times New Roman"/>
                <w:b/>
                <w:szCs w:val="21"/>
              </w:rPr>
              <w:t>二、产品功能</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支持IEEE 802.1d（STP）、802.1w（RSTP）、802.1s(MSTP)</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支持802.1q VLAN,支持QINQ</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支持802.3ad端口聚合每组最大8个、支持动态LACP或静态聚合</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支持802.1p，支持SP、WRR算法队列</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支持IGMPv1/v2/v3、PIM-SM、PIM-DM，支持组播流量跨VLAN复制功能</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支持静态路由，rip/ospf动态路由</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支持DHCP snooping，DHCP server，DHCP raleay</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支持802.1X/Radius认证，支持IP+MAC+端口绑定</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支持ZTP零接触配置开通（Zero Touch Provisioning）</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支持Console、Telnet、SSH、WEB；</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为了保证超融合平台的安全性、稳定性与统一管理。要求提供公司类资质证书。例如ISO9001、ISO14001、管理体系认证证书 ，提供CMMI5认证证书。</w:t>
            </w:r>
          </w:p>
        </w:tc>
      </w:tr>
    </w:tbl>
    <w:p>
      <w:pPr>
        <w:rPr>
          <w:rFonts w:ascii="Calibri" w:hAnsi="Calibri" w:eastAsia="宋体" w:cs="Times New Roman"/>
        </w:rPr>
      </w:pPr>
    </w:p>
    <w:p>
      <w:pPr>
        <w:keepNext/>
        <w:keepLines/>
        <w:spacing w:before="260" w:line="416" w:lineRule="auto"/>
        <w:outlineLvl w:val="1"/>
        <w:rPr>
          <w:rFonts w:ascii="宋体" w:hAnsi="宋体" w:eastAsia="宋体" w:cs="Times New Roman"/>
          <w:szCs w:val="21"/>
        </w:rPr>
      </w:pPr>
      <w:r>
        <w:rPr>
          <w:rFonts w:hint="eastAsia" w:ascii="宋体" w:hAnsi="宋体" w:eastAsia="宋体" w:cs="Times New Roman"/>
          <w:szCs w:val="21"/>
        </w:rPr>
        <w:t>2. 万兆交换机</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750"/>
        <w:gridCol w:w="656"/>
        <w:gridCol w:w="6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5</w:t>
            </w:r>
          </w:p>
        </w:tc>
        <w:tc>
          <w:tcPr>
            <w:tcW w:w="440" w:type="pct"/>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万兆交换机</w:t>
            </w:r>
          </w:p>
        </w:tc>
        <w:tc>
          <w:tcPr>
            <w:tcW w:w="385" w:type="pct"/>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2台</w:t>
            </w:r>
          </w:p>
        </w:tc>
        <w:tc>
          <w:tcPr>
            <w:tcW w:w="3884" w:type="pct"/>
            <w:shd w:val="clear" w:color="auto" w:fill="auto"/>
          </w:tcPr>
          <w:p>
            <w:pPr>
              <w:spacing w:line="400" w:lineRule="exact"/>
              <w:rPr>
                <w:rFonts w:ascii="宋体" w:hAnsi="宋体" w:eastAsia="宋体" w:cs="Times New Roman"/>
                <w:b/>
                <w:szCs w:val="21"/>
              </w:rPr>
            </w:pPr>
            <w:r>
              <w:rPr>
                <w:rFonts w:hint="eastAsia" w:ascii="宋体" w:hAnsi="宋体" w:eastAsia="宋体" w:cs="Times New Roman"/>
                <w:b/>
                <w:szCs w:val="21"/>
              </w:rPr>
              <w:t>一、基本要求</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三层以太网交换机，≥4</w:t>
            </w:r>
            <w:r>
              <w:rPr>
                <w:rFonts w:ascii="宋体" w:hAnsi="宋体" w:eastAsia="宋体" w:cs="Times New Roman"/>
                <w:szCs w:val="21"/>
              </w:rPr>
              <w:t>8</w:t>
            </w:r>
            <w:r>
              <w:rPr>
                <w:rFonts w:hint="eastAsia" w:ascii="宋体" w:hAnsi="宋体" w:eastAsia="宋体" w:cs="Times New Roman"/>
                <w:szCs w:val="21"/>
              </w:rPr>
              <w:t>个千兆电口，≥8个万兆SFP+光口，1个Mini usb型Console口，标配电源AC220V，可拓展电源槽位，智能风扇，1U高度，标准19英寸机架式安装</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包转发率252Mpps，交换容量</w:t>
            </w:r>
            <w:r>
              <w:rPr>
                <w:rFonts w:ascii="宋体" w:hAnsi="宋体" w:eastAsia="宋体" w:cs="Times New Roman"/>
                <w:szCs w:val="21"/>
              </w:rPr>
              <w:t>350</w:t>
            </w:r>
            <w:r>
              <w:rPr>
                <w:rFonts w:hint="eastAsia" w:ascii="宋体" w:hAnsi="宋体" w:eastAsia="宋体" w:cs="Times New Roman"/>
                <w:szCs w:val="21"/>
              </w:rPr>
              <w:t>Gbps，随机包含支架安装包、防水堵头、文档资料</w:t>
            </w:r>
          </w:p>
          <w:p>
            <w:pPr>
              <w:spacing w:line="400" w:lineRule="exact"/>
              <w:rPr>
                <w:rFonts w:ascii="宋体" w:hAnsi="宋体" w:eastAsia="宋体" w:cs="Times New Roman"/>
                <w:szCs w:val="21"/>
              </w:rPr>
            </w:pPr>
            <w:r>
              <w:rPr>
                <w:rFonts w:hint="eastAsia" w:ascii="宋体" w:hAnsi="宋体" w:eastAsia="宋体" w:cs="Times New Roman"/>
                <w:b/>
                <w:szCs w:val="21"/>
              </w:rPr>
              <w:t>二、产品功能</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支持IEEE 802.1d（STP）、802.1w（RSTP）、802.1s(MSTP)</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支持802.1q VLAN,支持QINQ</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支持802.3ad端口聚合每组最大8个、支持动态LACP或静态聚合</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支持802.1p，支持SP、WRR算法队列</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支持IGMPv1/v2/v3、PIM-SM、PIM-DM，支持组播流量跨VLAN复制功能</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支持静态路由，rip/ospf动态路由</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支持DHCP snooping，DHCP server，DHCP raleay</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支持802.1X/Radius认证，支持IP+MAC+端口绑定</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支持ZTP零接触配置开通（Zero Touch Provisioning）</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支持Console、Telnet、SSH、WEB；</w:t>
            </w:r>
          </w:p>
          <w:p>
            <w:pPr>
              <w:numPr>
                <w:ilvl w:val="0"/>
                <w:numId w:val="4"/>
              </w:numPr>
              <w:spacing w:line="400" w:lineRule="exact"/>
              <w:rPr>
                <w:rFonts w:ascii="宋体" w:hAnsi="宋体" w:eastAsia="宋体" w:cs="Times New Roman"/>
                <w:szCs w:val="21"/>
              </w:rPr>
            </w:pPr>
            <w:r>
              <w:rPr>
                <w:rFonts w:hint="eastAsia" w:ascii="宋体" w:hAnsi="宋体" w:eastAsia="宋体" w:cs="Times New Roman"/>
                <w:szCs w:val="21"/>
              </w:rPr>
              <w:t>为了保证超融合平台的安全性、稳定性与统一管理。要求提供公司类资质证书。例如ISO9001、ISO14001、管理体系认证证书 ，提供CMMI5认证证书。</w:t>
            </w:r>
          </w:p>
        </w:tc>
      </w:tr>
    </w:tbl>
    <w:p>
      <w:pPr>
        <w:rPr>
          <w:rFonts w:ascii="Calibri" w:hAnsi="Calibri" w:eastAsia="宋体" w:cs="Times New Roman"/>
        </w:rPr>
      </w:pPr>
    </w:p>
    <w:p>
      <w:pPr>
        <w:keepNext/>
        <w:keepLines/>
        <w:spacing w:before="260" w:after="260" w:line="416" w:lineRule="auto"/>
        <w:outlineLvl w:val="1"/>
        <w:rPr>
          <w:rFonts w:ascii="宋体" w:hAnsi="宋体" w:eastAsia="宋体" w:cs="Times New Roman"/>
          <w:sz w:val="30"/>
          <w:szCs w:val="30"/>
        </w:rPr>
      </w:pPr>
      <w:r>
        <w:rPr>
          <w:rFonts w:hint="eastAsia" w:ascii="宋体" w:hAnsi="宋体" w:eastAsia="宋体" w:cs="Times New Roman"/>
          <w:sz w:val="30"/>
          <w:szCs w:val="30"/>
        </w:rPr>
        <w:t>3</w:t>
      </w:r>
      <w:r>
        <w:rPr>
          <w:rFonts w:ascii="宋体" w:hAnsi="宋体" w:eastAsia="宋体" w:cs="Times New Roman"/>
          <w:sz w:val="30"/>
          <w:szCs w:val="30"/>
        </w:rPr>
        <w:t>.</w:t>
      </w:r>
      <w:r>
        <w:rPr>
          <w:rFonts w:hint="eastAsia" w:ascii="宋体" w:hAnsi="宋体" w:eastAsia="宋体" w:cs="Times New Roman"/>
          <w:sz w:val="30"/>
          <w:szCs w:val="30"/>
        </w:rPr>
        <w:t>超融合系统</w:t>
      </w:r>
    </w:p>
    <w:tbl>
      <w:tblPr>
        <w:tblStyle w:val="5"/>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19"/>
        <w:gridCol w:w="1276"/>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61" w:type="dxa"/>
            <w:shd w:val="clear" w:color="auto" w:fill="auto"/>
            <w:vAlign w:val="center"/>
          </w:tcPr>
          <w:p>
            <w:pPr>
              <w:jc w:val="center"/>
              <w:rPr>
                <w:rFonts w:ascii="Calibri" w:hAnsi="Calibri" w:eastAsia="宋体" w:cs="Times New Roman"/>
              </w:rPr>
            </w:pPr>
            <w:r>
              <w:rPr>
                <w:rFonts w:ascii="Calibri" w:hAnsi="Calibri" w:eastAsia="宋体" w:cs="Times New Roman"/>
              </w:rPr>
              <w:t>6</w:t>
            </w:r>
          </w:p>
        </w:tc>
        <w:tc>
          <w:tcPr>
            <w:tcW w:w="1219" w:type="dxa"/>
            <w:shd w:val="clear" w:color="auto" w:fill="auto"/>
            <w:vAlign w:val="center"/>
          </w:tcPr>
          <w:p>
            <w:pPr>
              <w:jc w:val="center"/>
              <w:rPr>
                <w:rFonts w:ascii="Calibri" w:hAnsi="Calibri" w:eastAsia="宋体" w:cs="Times New Roman"/>
              </w:rPr>
            </w:pPr>
            <w:r>
              <w:rPr>
                <w:rFonts w:hint="eastAsia" w:ascii="Calibri" w:hAnsi="Calibri" w:eastAsia="宋体" w:cs="Times New Roman"/>
              </w:rPr>
              <w:t>超融合管理系统</w:t>
            </w:r>
          </w:p>
        </w:tc>
        <w:tc>
          <w:tcPr>
            <w:tcW w:w="1276" w:type="dxa"/>
            <w:shd w:val="clear" w:color="auto" w:fill="auto"/>
            <w:vAlign w:val="center"/>
          </w:tcPr>
          <w:p>
            <w:pPr>
              <w:jc w:val="center"/>
              <w:rPr>
                <w:rFonts w:ascii="Calibri" w:hAnsi="Calibri" w:eastAsia="宋体" w:cs="Times New Roman"/>
              </w:rPr>
            </w:pPr>
            <w:r>
              <w:rPr>
                <w:rFonts w:ascii="Calibri" w:hAnsi="Calibri" w:eastAsia="宋体" w:cs="Times New Roman"/>
              </w:rPr>
              <w:t>3台</w:t>
            </w:r>
          </w:p>
        </w:tc>
        <w:tc>
          <w:tcPr>
            <w:tcW w:w="5715" w:type="dxa"/>
            <w:shd w:val="clear" w:color="auto" w:fill="auto"/>
            <w:vAlign w:val="center"/>
          </w:tcPr>
          <w:p>
            <w:pPr>
              <w:jc w:val="left"/>
              <w:rPr>
                <w:rFonts w:ascii="Calibri" w:hAnsi="Calibri" w:eastAsia="宋体" w:cs="Times New Roman"/>
                <w:b/>
              </w:rPr>
            </w:pPr>
            <w:r>
              <w:rPr>
                <w:rFonts w:hint="eastAsia" w:ascii="Calibri" w:hAnsi="Calibri" w:eastAsia="宋体" w:cs="Times New Roman"/>
                <w:b/>
              </w:rPr>
              <w:t>一、基本要求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支持一体机和软件两种方式交付，软件交付方式可以兼容市场上主流服务器厂商X86架构服务器，包括DELLEMC、IBM、HPE、联想、浪潮、华为、曙光、宝德等。</w:t>
            </w:r>
          </w:p>
          <w:p>
            <w:pPr>
              <w:numPr>
                <w:ilvl w:val="0"/>
                <w:numId w:val="5"/>
              </w:numPr>
              <w:spacing w:line="360" w:lineRule="auto"/>
              <w:jc w:val="left"/>
              <w:rPr>
                <w:rFonts w:ascii="Calibri" w:hAnsi="Calibri" w:eastAsia="宋体" w:cs="Times New Roman"/>
                <w:szCs w:val="21"/>
              </w:rPr>
            </w:pPr>
            <w:r>
              <w:rPr>
                <w:rFonts w:hint="eastAsia" w:ascii="Calibri" w:hAnsi="Calibri" w:eastAsia="宋体" w:cs="Times New Roman"/>
                <w:szCs w:val="21"/>
              </w:rPr>
              <w:t>标准机架式2U服务器，含≥2颗</w:t>
            </w:r>
            <w:r>
              <w:rPr>
                <w:rFonts w:ascii="Calibri" w:hAnsi="Calibri" w:eastAsia="宋体" w:cs="Times New Roman"/>
                <w:szCs w:val="21"/>
              </w:rPr>
              <w:t>Intel Silver 4210R</w:t>
            </w:r>
            <w:r>
              <w:rPr>
                <w:rFonts w:hint="eastAsia" w:ascii="Calibri" w:hAnsi="Calibri" w:eastAsia="宋体" w:cs="Times New Roman"/>
                <w:szCs w:val="21"/>
              </w:rPr>
              <w:t>处理器， 标配DDR4内存≥128GB，内置≥2块2</w:t>
            </w:r>
            <w:r>
              <w:rPr>
                <w:rFonts w:ascii="Calibri" w:hAnsi="Calibri" w:eastAsia="宋体" w:cs="Times New Roman"/>
                <w:szCs w:val="21"/>
              </w:rPr>
              <w:t>40</w:t>
            </w:r>
            <w:r>
              <w:rPr>
                <w:rFonts w:hint="eastAsia" w:ascii="Calibri" w:hAnsi="Calibri" w:eastAsia="宋体" w:cs="Times New Roman"/>
                <w:szCs w:val="21"/>
              </w:rPr>
              <w:t>GB SSD系统盘，≥2个千兆电口，≥2个万兆光口，集成IPMI管理模块，前置≥8个热插拔盘位，550W冗余电源；</w:t>
            </w:r>
          </w:p>
          <w:p>
            <w:pPr>
              <w:numPr>
                <w:ilvl w:val="0"/>
                <w:numId w:val="5"/>
              </w:numPr>
              <w:spacing w:line="360" w:lineRule="auto"/>
              <w:jc w:val="left"/>
              <w:rPr>
                <w:rFonts w:ascii="Calibri" w:hAnsi="Calibri" w:eastAsia="宋体" w:cs="Times New Roman"/>
                <w:szCs w:val="21"/>
              </w:rPr>
            </w:pPr>
            <w:r>
              <w:rPr>
                <w:rFonts w:hint="eastAsia" w:ascii="Calibri" w:hAnsi="Calibri" w:eastAsia="宋体" w:cs="Times New Roman"/>
                <w:szCs w:val="21"/>
              </w:rPr>
              <w:t>配置≥4块</w:t>
            </w:r>
            <w:r>
              <w:rPr>
                <w:rFonts w:ascii="Calibri" w:hAnsi="Calibri" w:eastAsia="宋体" w:cs="Times New Roman"/>
                <w:szCs w:val="21"/>
              </w:rPr>
              <w:t>10</w:t>
            </w:r>
            <w:r>
              <w:rPr>
                <w:rFonts w:hint="eastAsia" w:ascii="Calibri" w:hAnsi="Calibri" w:eastAsia="宋体" w:cs="Times New Roman"/>
                <w:szCs w:val="21"/>
              </w:rPr>
              <w:t>TB 7200转3.5寸SATA硬盘 ，≥</w:t>
            </w:r>
            <w:r>
              <w:rPr>
                <w:rFonts w:ascii="Calibri" w:hAnsi="Calibri" w:eastAsia="宋体" w:cs="Times New Roman"/>
                <w:szCs w:val="21"/>
              </w:rPr>
              <w:t>1</w:t>
            </w:r>
            <w:r>
              <w:rPr>
                <w:rFonts w:hint="eastAsia" w:ascii="Calibri" w:hAnsi="Calibri" w:eastAsia="宋体" w:cs="Times New Roman"/>
                <w:szCs w:val="21"/>
              </w:rPr>
              <w:t>块256GB SSD固态硬盘；</w:t>
            </w:r>
          </w:p>
          <w:p>
            <w:pPr>
              <w:numPr>
                <w:ilvl w:val="0"/>
                <w:numId w:val="5"/>
              </w:numPr>
              <w:spacing w:line="360" w:lineRule="auto"/>
              <w:jc w:val="left"/>
              <w:rPr>
                <w:rFonts w:ascii="Calibri" w:hAnsi="Calibri" w:eastAsia="宋体" w:cs="Times New Roman"/>
                <w:szCs w:val="21"/>
              </w:rPr>
            </w:pPr>
            <w:r>
              <w:rPr>
                <w:rFonts w:hint="eastAsia" w:ascii="宋体" w:hAnsi="宋体" w:eastAsia="宋体" w:cs="Times New Roman"/>
                <w:szCs w:val="21"/>
              </w:rPr>
              <w:t>提供3年原厂硬件质保服务</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支持服务器磁盘在线扩容，系统自动发现新增硬盘，自动扩容存储容量，最少可以支持1块磁盘扩容，增加灵活性，支持磁盘退役功能，被设置为退役的硬盘，数据自动迁移到集群其它服务器节点磁盘中；</w:t>
            </w:r>
          </w:p>
          <w:p>
            <w:pPr>
              <w:numPr>
                <w:ilvl w:val="0"/>
                <w:numId w:val="5"/>
              </w:numPr>
              <w:spacing w:line="360" w:lineRule="auto"/>
              <w:jc w:val="left"/>
              <w:rPr>
                <w:rFonts w:ascii="Calibri" w:hAnsi="Calibri" w:eastAsia="宋体" w:cs="Times New Roman"/>
              </w:rPr>
            </w:pPr>
            <w:r>
              <w:rPr>
                <w:rFonts w:ascii="Calibri" w:hAnsi="Calibri" w:eastAsia="宋体" w:cs="Times New Roman"/>
              </w:rPr>
              <w:t>一体机的后续集群扩展</w:t>
            </w:r>
            <w:r>
              <w:rPr>
                <w:rFonts w:hint="eastAsia" w:ascii="Calibri" w:hAnsi="Calibri" w:eastAsia="宋体" w:cs="Times New Roman"/>
              </w:rPr>
              <w:t>，支持集群服务器节点数量在线扩容，通过自动发现新增节点实现自动扩容，最少可以支持1节点扩容，且分布式存储属于自主研发产品，具有自主知识产权，不能使用开源分布式存储或基于开源分布式存储（如Glusterfs、Ceph等）二次开发的产品；</w:t>
            </w:r>
          </w:p>
          <w:p>
            <w:pPr>
              <w:numPr>
                <w:ilvl w:val="0"/>
                <w:numId w:val="5"/>
              </w:numPr>
              <w:spacing w:line="360" w:lineRule="auto"/>
              <w:jc w:val="left"/>
              <w:rPr>
                <w:rFonts w:ascii="Calibri" w:hAnsi="Calibri" w:eastAsia="宋体" w:cs="Times New Roman"/>
                <w:b/>
              </w:rPr>
            </w:pPr>
            <w:r>
              <w:rPr>
                <w:rFonts w:ascii="Calibri" w:hAnsi="Calibri" w:eastAsia="宋体" w:cs="Times New Roman"/>
              </w:rPr>
              <w:t>设备内集成统一云管平台</w:t>
            </w:r>
            <w:r>
              <w:rPr>
                <w:rFonts w:hint="eastAsia" w:ascii="Calibri" w:hAnsi="Calibri" w:eastAsia="宋体" w:cs="Times New Roman"/>
              </w:rPr>
              <w:t>、</w:t>
            </w:r>
            <w:r>
              <w:rPr>
                <w:rFonts w:ascii="Calibri" w:hAnsi="Calibri" w:eastAsia="宋体" w:cs="Times New Roman"/>
              </w:rPr>
              <w:t>服务器虚拟化</w:t>
            </w:r>
            <w:r>
              <w:rPr>
                <w:rFonts w:hint="eastAsia" w:ascii="Calibri" w:hAnsi="Calibri" w:eastAsia="宋体" w:cs="Times New Roman"/>
              </w:rPr>
              <w:t>、</w:t>
            </w:r>
            <w:r>
              <w:rPr>
                <w:rFonts w:ascii="Calibri" w:hAnsi="Calibri" w:eastAsia="宋体" w:cs="Times New Roman"/>
              </w:rPr>
              <w:t>存储虚拟化</w:t>
            </w:r>
            <w:r>
              <w:rPr>
                <w:rFonts w:hint="eastAsia" w:ascii="Calibri" w:hAnsi="Calibri" w:eastAsia="宋体" w:cs="Times New Roman"/>
              </w:rPr>
              <w:t>、</w:t>
            </w:r>
            <w:r>
              <w:rPr>
                <w:rFonts w:ascii="Calibri" w:hAnsi="Calibri" w:eastAsia="宋体" w:cs="Times New Roman"/>
              </w:rPr>
              <w:t>网络虚拟化</w:t>
            </w:r>
            <w:r>
              <w:rPr>
                <w:rFonts w:hint="eastAsia" w:ascii="Calibri" w:hAnsi="Calibri" w:eastAsia="宋体" w:cs="Times New Roman"/>
              </w:rPr>
              <w:t>、C</w:t>
            </w:r>
            <w:r>
              <w:rPr>
                <w:rFonts w:ascii="Calibri" w:hAnsi="Calibri" w:eastAsia="宋体" w:cs="Times New Roman"/>
              </w:rPr>
              <w:t>DP备份功能</w:t>
            </w:r>
            <w:r>
              <w:rPr>
                <w:rFonts w:hint="eastAsia" w:ascii="Calibri" w:hAnsi="Calibri" w:eastAsia="宋体" w:cs="Times New Roman"/>
              </w:rPr>
              <w:t>，支持物理C</w:t>
            </w:r>
            <w:r>
              <w:rPr>
                <w:rFonts w:ascii="Calibri" w:hAnsi="Calibri" w:eastAsia="宋体" w:cs="Times New Roman"/>
              </w:rPr>
              <w:t>PU延伸集群</w:t>
            </w:r>
            <w:r>
              <w:rPr>
                <w:rFonts w:hint="eastAsia" w:ascii="Calibri" w:hAnsi="Calibri" w:eastAsia="宋体" w:cs="Times New Roman"/>
              </w:rPr>
              <w:t>，上述软件功能模块与超融合管理系统必须同属于一个品牌软件，无需额外单独部署，通过统一云管平台进行集中管理。</w:t>
            </w:r>
          </w:p>
          <w:p>
            <w:pPr>
              <w:jc w:val="left"/>
              <w:rPr>
                <w:rFonts w:ascii="Calibri" w:hAnsi="Calibri" w:eastAsia="宋体" w:cs="Times New Roman"/>
                <w:b/>
              </w:rPr>
            </w:pPr>
            <w:r>
              <w:rPr>
                <w:rFonts w:ascii="Calibri" w:hAnsi="Calibri" w:eastAsia="宋体" w:cs="Times New Roman"/>
                <w:b/>
              </w:rPr>
              <w:t>二</w:t>
            </w:r>
            <w:r>
              <w:rPr>
                <w:rFonts w:hint="eastAsia" w:ascii="Calibri" w:hAnsi="Calibri" w:eastAsia="宋体" w:cs="Times New Roman"/>
                <w:b/>
              </w:rPr>
              <w:t>、</w:t>
            </w:r>
            <w:r>
              <w:rPr>
                <w:rFonts w:ascii="Calibri" w:hAnsi="Calibri" w:eastAsia="宋体" w:cs="Times New Roman"/>
                <w:b/>
              </w:rPr>
              <w:t>功能要求</w:t>
            </w:r>
          </w:p>
          <w:p>
            <w:pPr>
              <w:jc w:val="left"/>
              <w:rPr>
                <w:rFonts w:ascii="Calibri" w:hAnsi="Calibri" w:eastAsia="宋体" w:cs="Times New Roman"/>
                <w:b/>
              </w:rPr>
            </w:pPr>
            <w:r>
              <w:rPr>
                <w:rFonts w:ascii="Calibri" w:hAnsi="Calibri" w:eastAsia="宋体" w:cs="Times New Roman"/>
                <w:b/>
              </w:rPr>
              <w:t>平台要求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产品采用完全分布式架构构建，包括计算、存储、网络及云管，单点故障不影响集群正常运行，保障集群的稳定性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产品采用去中心化的分布式架构，登录到任何一个节点的管理</w:t>
            </w:r>
            <w:r>
              <w:rPr>
                <w:rFonts w:ascii="Calibri" w:hAnsi="Calibri" w:eastAsia="宋体" w:cs="Times New Roman"/>
              </w:rPr>
              <w:t>VM</w:t>
            </w:r>
            <w:r>
              <w:rPr>
                <w:rFonts w:hint="eastAsia" w:ascii="Calibri" w:hAnsi="Calibri" w:eastAsia="宋体" w:cs="Times New Roman"/>
              </w:rPr>
              <w:t>可以对整个集群进行管理，无需部署额外管理节点</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分布式存储通过多副本冗余技术实现数据高可用性，最小支持1副本，最高支持6个副本，支持虚拟机级别副本设置，可以按照业务的安全需求给不同虚拟机设置不同数量副本，提升灵活性；（提供功能截图）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设备虚拟化功能服务，无需额外增加或替换软件/硬件前提下，通过License激活的方式，实现安全虚拟化功能，超融合云安全产品（包括分布式防火墙、下一代防火墙、WAF、负载均衡、基线核查、日志审计、终端杀毒等）采用具有自主知识产权产品，非使用第三方OEM产品，保证良好的兼容性和扩展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支持服务器节点退役功能，退役主机的数据自动迁移之其它正常服务器节点（提供功能截图）；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支持服务器节点维护模式，维护过程中不会触发数据重构机制，保证集群存储性能最佳（提供功能截图）；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支持基于</w:t>
            </w:r>
            <w:r>
              <w:rPr>
                <w:rFonts w:ascii="Calibri" w:hAnsi="Calibri" w:eastAsia="宋体" w:cs="Times New Roman"/>
              </w:rPr>
              <w:t>Web</w:t>
            </w:r>
            <w:r>
              <w:rPr>
                <w:rFonts w:hint="eastAsia" w:ascii="Calibri" w:hAnsi="Calibri" w:eastAsia="宋体" w:cs="Times New Roman"/>
              </w:rPr>
              <w:t>界面快速扩容计算和存储节点，通过扫描主机或者手动添加的方式增加主机，扩大集群功能，支持基于界面自定义物理主机角色，角色包括计算角色、数据角色、接入角色（提供功能截图）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支持部署多种服务器虚拟化软件，至少包含VMware vSphere、Hyper-V、KVM等市场上主流虚拟化产品；</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支持一键恢复出厂设置，可以快速清除宿主机配置，将宿主机一键恢复到初始化前状态，避免由于失误配置重新安装系统情况；</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支持IP访问策略控制功能设置，可以通过白名单和黑名单方式设置允许访问的IP地址或IP地址段，提升平台安全性；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支持基于Web界面快速扩容计算和存储节点，通过扫描主机或者手动添加的方式增加主机，扩大集群功能，支持基于界面自定义物理主机角色，角色包括计算角色、数据角色、接入角色;</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支持对超融合主机进行监控与展示，包括主机操作系统、CPU、内存、网卡、磁盘、USB外设以及C</w:t>
            </w:r>
            <w:r>
              <w:rPr>
                <w:rFonts w:ascii="Calibri" w:hAnsi="Calibri" w:eastAsia="宋体" w:cs="Times New Roman"/>
              </w:rPr>
              <w:t>PU</w:t>
            </w:r>
            <w:r>
              <w:rPr>
                <w:rFonts w:hint="eastAsia" w:ascii="Calibri" w:hAnsi="Calibri" w:eastAsia="宋体" w:cs="Times New Roman"/>
              </w:rPr>
              <w:t>使用率、内存使用率等；</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支持实时性能监控功能，可以对集群多种对象进行性能监控与展示，包括主机负载、C</w:t>
            </w:r>
            <w:r>
              <w:rPr>
                <w:rFonts w:ascii="Calibri" w:hAnsi="Calibri" w:eastAsia="宋体" w:cs="Times New Roman"/>
              </w:rPr>
              <w:t>PU</w:t>
            </w:r>
            <w:r>
              <w:rPr>
                <w:rFonts w:hint="eastAsia" w:ascii="Calibri" w:hAnsi="Calibri" w:eastAsia="宋体" w:cs="Times New Roman"/>
              </w:rPr>
              <w:t>使用率、内存使用率、磁盘读写I</w:t>
            </w:r>
            <w:r>
              <w:rPr>
                <w:rFonts w:ascii="Calibri" w:hAnsi="Calibri" w:eastAsia="宋体" w:cs="Times New Roman"/>
              </w:rPr>
              <w:t>OPS</w:t>
            </w:r>
            <w:r>
              <w:rPr>
                <w:rFonts w:hint="eastAsia" w:ascii="Calibri" w:hAnsi="Calibri" w:eastAsia="宋体" w:cs="Times New Roman"/>
              </w:rPr>
              <w:t>及M</w:t>
            </w:r>
            <w:r>
              <w:rPr>
                <w:rFonts w:ascii="Calibri" w:hAnsi="Calibri" w:eastAsia="宋体" w:cs="Times New Roman"/>
              </w:rPr>
              <w:t>BPS</w:t>
            </w:r>
            <w:r>
              <w:rPr>
                <w:rFonts w:hint="eastAsia" w:ascii="Calibri" w:hAnsi="Calibri" w:eastAsia="宋体" w:cs="Times New Roman"/>
              </w:rPr>
              <w:t>、网卡读写带宽等，为监控及性能问题排错提供依据；</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支持自动化任务功能配置，可以自定义任务类型及执行策略，任务类型包括虚拟机快照及备份、存储卷快照及备份和集群巡检等，提升管理效率；</w:t>
            </w:r>
          </w:p>
          <w:p>
            <w:pPr>
              <w:jc w:val="left"/>
              <w:rPr>
                <w:rFonts w:ascii="Calibri" w:hAnsi="Calibri" w:eastAsia="宋体" w:cs="Times New Roman"/>
                <w:b/>
              </w:rPr>
            </w:pPr>
            <w:r>
              <w:rPr>
                <w:rFonts w:ascii="Calibri" w:hAnsi="Calibri" w:eastAsia="宋体" w:cs="Times New Roman"/>
                <w:b/>
              </w:rPr>
              <w:t>计算虚拟化需求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支持异构虚拟化平台集中管理，可以对VMware vSphere环境进行纳管、双向虚拟机在线迁移及双向异步容灾，支持VMware虚拟机资源（池）的生命周期管理，包括创建、克隆、迁移、挂起、配置、删除和查询等操作, 可以实现与VMware vSphere环境双向异步容灾，超融合平台虚拟机可以容灾到VMware环境，同时VMware环境虚拟机也可以容灾到超融合平台（提供功能截图）；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支持内存缓存功能，可以利用物理内存作为缓存，以提升访问高性能，实现内存、SSD及HDD存储分层；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存储本地化设置，虚拟机设置好本地化后会在服务器本地存储建立完整的副本，其他副本在其他服务器磁盘均匀放置，此时访问无需跨越网络，提升存储性能，当虚拟机迁移到其他服务器，会继续在本地建立完整副本；</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支持虚拟机存储链路冗余设置，可以设置多条访问存储卷的链路，提升虚拟机访问存储的可靠性和性能（提供功能截图）；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支持详细的Guest OS使用情况监控，包括系统磁盘数量、磁盘分区、磁盘使用率、系统进程及系统连接数量，提升管理效率；</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支持虚拟机最后一屏功能，指在发生意外故障导致的虚拟机停机，可以将虚拟机最后一屏信息进行截图，为后续排错提供依据；</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支持通过VNC和Spice两种方式远程访问虚拟机控制台，支持Spice方式设置独立访问密码，保证访问安全性；</w:t>
            </w:r>
          </w:p>
          <w:p>
            <w:pPr>
              <w:jc w:val="left"/>
              <w:rPr>
                <w:rFonts w:ascii="Calibri" w:hAnsi="Calibri" w:eastAsia="宋体" w:cs="Times New Roman"/>
                <w:b/>
              </w:rPr>
            </w:pPr>
            <w:r>
              <w:rPr>
                <w:rFonts w:ascii="Calibri" w:hAnsi="Calibri" w:eastAsia="宋体" w:cs="Times New Roman"/>
                <w:b/>
              </w:rPr>
              <w:t>存储虚拟化要求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支持服务器在线扩容磁盘，增加一体机存储容量，最少可以支持</w:t>
            </w:r>
            <w:r>
              <w:rPr>
                <w:rFonts w:ascii="Calibri" w:hAnsi="Calibri" w:eastAsia="宋体" w:cs="Times New Roman"/>
              </w:rPr>
              <w:t>1</w:t>
            </w:r>
            <w:r>
              <w:rPr>
                <w:rFonts w:hint="eastAsia" w:ascii="Calibri" w:hAnsi="Calibri" w:eastAsia="宋体" w:cs="Times New Roman"/>
              </w:rPr>
              <w:t>块磁盘扩容，增加灵活性；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支持磁盘退役功能，被设置为退役的硬盘，数据自动迁移到集群其它服务器节点磁盘中</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支持对象存储服务，可以向外部系统提供对象存储服务，支持S3及Swift接口类型，支持SSL加密传输，满足非结构化数据存储需求，减少存储额外开支；（提供功能截图）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分布式存储通过多副本冗余技术实现数据高可用性，支持基于存储卷级别的副本设定，可以针对不同场景灵活配置不同级别的副本数，最小支持</w:t>
            </w:r>
            <w:r>
              <w:rPr>
                <w:rFonts w:ascii="Calibri" w:hAnsi="Calibri" w:eastAsia="宋体" w:cs="Times New Roman"/>
              </w:rPr>
              <w:t>1</w:t>
            </w:r>
            <w:r>
              <w:rPr>
                <w:rFonts w:hint="eastAsia" w:ascii="Calibri" w:hAnsi="Calibri" w:eastAsia="宋体" w:cs="Times New Roman"/>
              </w:rPr>
              <w:t>副本，最高支持</w:t>
            </w:r>
            <w:r>
              <w:rPr>
                <w:rFonts w:ascii="Calibri" w:hAnsi="Calibri" w:eastAsia="宋体" w:cs="Times New Roman"/>
              </w:rPr>
              <w:t>6</w:t>
            </w:r>
            <w:r>
              <w:rPr>
                <w:rFonts w:hint="eastAsia" w:ascii="Calibri" w:hAnsi="Calibri" w:eastAsia="宋体" w:cs="Times New Roman"/>
              </w:rPr>
              <w:t>个副本，副本实现跨磁盘、跨节点、跨机架放置模式</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支持存储卷的数据块副本图形显示和操作，可以监控数据块的当前状态，可以按需调整数据块所在的主机和磁盘位置，指定数据块副本的读取优先级，保证数据安全性；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支持存储数据自定义一致性，可以设置弱一致、强一致、最终一致，针对不同的环境灵活使用；（提供功能截图）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支持网络监控与分析功能，可以对指定网络进行流量、协议及端口监控，支持规则定义、信息过滤等，提供完整流量分析功能；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支持业务虚拟机级容灾配置，提供图形化RPO范围配置，支持1秒到1周；</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要求在SSD+HDD混闪硬盘硬件配置情况下，支持虚拟机运行在SSD闪盘模式，提升关键业务存储性能；</w:t>
            </w:r>
          </w:p>
          <w:p>
            <w:pPr>
              <w:jc w:val="left"/>
              <w:rPr>
                <w:rFonts w:ascii="Calibri" w:hAnsi="Calibri" w:eastAsia="宋体" w:cs="Times New Roman"/>
                <w:b/>
              </w:rPr>
            </w:pPr>
            <w:r>
              <w:rPr>
                <w:rFonts w:ascii="Calibri" w:hAnsi="Calibri" w:eastAsia="宋体" w:cs="Times New Roman"/>
                <w:b/>
              </w:rPr>
              <w:t>网络虚拟化要求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支持本地网络功能，通过划分不同的虚拟网络交换机和虚拟端口组进行网络规划，支持端口镜像功能；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支持灵活的链路聚合功能，提供主备链路和双活链路可选，满足网络故障切换和负载均衡能力；</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支持网络监控与分析功能，可以对指定网络进行流量、协议及端口监控，支持规则定义、信息过滤等，提供完整流量分析功能；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支持安全组功能，可用于某一特定虚拟机上的网卡（链路实例）的出入流量进行控制，具有默认安全规则以及自定义规则，支持1-4层的安全防护；</w:t>
            </w:r>
          </w:p>
          <w:p>
            <w:pPr>
              <w:jc w:val="left"/>
              <w:rPr>
                <w:rFonts w:ascii="Calibri" w:hAnsi="Calibri" w:eastAsia="宋体" w:cs="Times New Roman"/>
                <w:b/>
              </w:rPr>
            </w:pPr>
            <w:r>
              <w:rPr>
                <w:rFonts w:ascii="Calibri" w:hAnsi="Calibri" w:eastAsia="宋体" w:cs="Times New Roman"/>
                <w:b/>
              </w:rPr>
              <w:t>容灾备份要求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无需安装第三方备份软件，超融合平台可以实现对虚拟机和存储卷的备份功能，虚拟机和存储卷数量无限制；</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支持自定义备份周期，可以手动设置按小时、天、周进行备份；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支持采用全量备份或增量备份的方式，可以节省更多的存储空间；</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CDP软件功能模块采用无代理方式进行备份，不借助第三方备份软件实现对业务虚拟机的备份；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CDP软件功能模块支持在线开启和关闭，可以对正在运行的业务虚拟机进行在线配置此功能；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可以实现与VMware vSphere环境双向异步容灾，超融合平台虚拟机可以容灾到VMware环境，同时VMware环境虚拟机也可以容灾到超融合平台；</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支持延伸集群功能，实现跨区域的双活容灾功能，两个集群互为双活，数据实时同步，当发生站点故障时可以实现业务的快速切换，实现数据零丢失，业务实现分钟级恢复；</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支持业务虚拟机级容灾配置，提供图形化RPO范围配置，支持1秒到1周；</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支持安全设备虚拟化功能服务，无需额外增加或替换软件/硬件前提下，通过License激活的方式，实现安全虚拟化功能，如虚拟防火墙、虚拟负载均衡，虚拟安全基线管理系统，日志分析与审计系统等；</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支持无需配置额外的网络硬件设备，安全网元即可和现有的网络连接；</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为适应未来的I</w:t>
            </w:r>
            <w:r>
              <w:rPr>
                <w:rFonts w:ascii="Calibri" w:hAnsi="Calibri" w:eastAsia="宋体" w:cs="Times New Roman"/>
              </w:rPr>
              <w:t>Pv6网络环境</w:t>
            </w:r>
            <w:r>
              <w:rPr>
                <w:rFonts w:hint="eastAsia" w:ascii="Calibri" w:hAnsi="Calibri" w:eastAsia="宋体" w:cs="Times New Roman"/>
              </w:rPr>
              <w:t>，</w:t>
            </w:r>
            <w:r>
              <w:rPr>
                <w:rFonts w:ascii="Calibri" w:hAnsi="Calibri" w:eastAsia="宋体" w:cs="Times New Roman"/>
              </w:rPr>
              <w:t>投标产品必须支持</w:t>
            </w:r>
            <w:r>
              <w:rPr>
                <w:rFonts w:hint="eastAsia" w:ascii="Calibri" w:hAnsi="Calibri" w:eastAsia="宋体" w:cs="Times New Roman"/>
              </w:rPr>
              <w:t>I</w:t>
            </w:r>
            <w:r>
              <w:rPr>
                <w:rFonts w:ascii="Calibri" w:hAnsi="Calibri" w:eastAsia="宋体" w:cs="Times New Roman"/>
              </w:rPr>
              <w:t>Pv6网络环境</w:t>
            </w:r>
            <w:r>
              <w:rPr>
                <w:rFonts w:hint="eastAsia" w:ascii="Calibri" w:hAnsi="Calibri" w:eastAsia="宋体" w:cs="Times New Roman"/>
              </w:rPr>
              <w:t>，</w:t>
            </w:r>
            <w:r>
              <w:rPr>
                <w:rFonts w:ascii="Calibri" w:hAnsi="Calibri" w:eastAsia="宋体" w:cs="Times New Roman"/>
              </w:rPr>
              <w:t>拥有</w:t>
            </w:r>
            <w:r>
              <w:rPr>
                <w:rFonts w:hint="eastAsia" w:ascii="Calibri" w:hAnsi="Calibri" w:eastAsia="宋体" w:cs="Times New Roman"/>
              </w:rPr>
              <w:t>全球IPv6 Ready Logo委员会颁发的IPv6 Ready Logo认证，（需提供证书复印件，并加盖公章）；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超融合产品拥有数据中心联盟颁发的超融合架构可信认证证书（需提供证书复印件，并加盖公章）；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超融合产品拥有国家版权局颁发的计算机软件著作权登记证书（需提供证书复印件，并加盖公章）；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超融合产品具备中华人民共和国公安部颁发的计算机信息系统安全专用产品销售许可证，要求在计算机信息系统安全专用产品销售许可平台可查，并提供网站截图及证书附件并加盖公章。</w:t>
            </w:r>
          </w:p>
        </w:tc>
      </w:tr>
    </w:tbl>
    <w:p>
      <w:pPr>
        <w:spacing w:line="560" w:lineRule="exact"/>
        <w:rPr>
          <w:rFonts w:ascii="仿宋_GB2312" w:hAnsi="宋体" w:eastAsia="仿宋_GB2312" w:cs="Times New Roman"/>
          <w:sz w:val="30"/>
          <w:szCs w:val="30"/>
        </w:rPr>
      </w:pPr>
    </w:p>
    <w:p>
      <w:pPr>
        <w:ind w:firstLine="420" w:firstLineChars="200"/>
        <w:rPr>
          <w:rFonts w:ascii="宋体" w:hAnsi="宋体" w:eastAsia="宋体" w:cs="Times New Roman"/>
          <w:color w:val="000000"/>
          <w:szCs w:val="21"/>
        </w:rPr>
      </w:pPr>
    </w:p>
    <w:tbl>
      <w:tblPr>
        <w:tblStyle w:val="5"/>
        <w:tblpPr w:leftFromText="180" w:rightFromText="180" w:vertAnchor="text" w:horzAnchor="margin" w:tblpY="-6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283"/>
        <w:gridCol w:w="6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2</w:t>
            </w:r>
          </w:p>
        </w:tc>
        <w:tc>
          <w:tcPr>
            <w:tcW w:w="1283" w:type="dxa"/>
            <w:shd w:val="clear" w:color="auto" w:fill="auto"/>
            <w:vAlign w:val="center"/>
          </w:tcPr>
          <w:p>
            <w:pPr>
              <w:rPr>
                <w:rFonts w:ascii="宋体" w:hAnsi="宋体" w:eastAsia="宋体" w:cs="Times New Roman"/>
                <w:szCs w:val="21"/>
              </w:rPr>
            </w:pPr>
            <w:r>
              <w:rPr>
                <w:rFonts w:hint="eastAsia" w:ascii="宋体" w:hAnsi="宋体" w:eastAsia="宋体" w:cs="Times New Roman"/>
                <w:szCs w:val="21"/>
              </w:rPr>
              <w:t xml:space="preserve">网络准入系统 </w:t>
            </w:r>
            <w:r>
              <w:rPr>
                <w:rFonts w:ascii="宋体" w:hAnsi="宋体" w:eastAsia="宋体" w:cs="Times New Roman"/>
                <w:szCs w:val="21"/>
              </w:rPr>
              <w:t xml:space="preserve"> 1</w:t>
            </w:r>
            <w:r>
              <w:rPr>
                <w:rFonts w:hint="eastAsia" w:ascii="宋体" w:hAnsi="宋体" w:eastAsia="宋体" w:cs="Times New Roman"/>
                <w:szCs w:val="21"/>
              </w:rPr>
              <w:t>套</w:t>
            </w:r>
          </w:p>
        </w:tc>
        <w:tc>
          <w:tcPr>
            <w:tcW w:w="6227" w:type="dxa"/>
            <w:shd w:val="clear" w:color="auto" w:fill="auto"/>
          </w:tcPr>
          <w:p>
            <w:pPr>
              <w:rPr>
                <w:rFonts w:ascii="宋体" w:hAnsi="宋体" w:eastAsia="宋体" w:cs="Times New Roman"/>
                <w:b/>
                <w:szCs w:val="21"/>
              </w:rPr>
            </w:pPr>
            <w:r>
              <w:rPr>
                <w:rFonts w:hint="eastAsia" w:ascii="宋体" w:hAnsi="宋体" w:eastAsia="宋体" w:cs="Times New Roman"/>
                <w:b/>
                <w:szCs w:val="21"/>
              </w:rPr>
              <w:t>一、硬件性能</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1U设备，≥6个千兆电口，≥2个千兆光口，≥1组BYPASS接口,单电源,2个扩展槽位；</w:t>
            </w:r>
          </w:p>
          <w:p>
            <w:pPr>
              <w:numPr>
                <w:ilvl w:val="0"/>
                <w:numId w:val="2"/>
              </w:numPr>
              <w:spacing w:line="360" w:lineRule="auto"/>
              <w:rPr>
                <w:rFonts w:ascii="宋体" w:hAnsi="宋体" w:eastAsia="宋体" w:cs="Times New Roman"/>
                <w:szCs w:val="21"/>
              </w:rPr>
            </w:pPr>
            <w:r>
              <w:rPr>
                <w:rFonts w:ascii="宋体" w:hAnsi="宋体" w:eastAsia="宋体" w:cs="Times New Roman"/>
                <w:szCs w:val="21"/>
              </w:rPr>
              <w:t>配置</w:t>
            </w:r>
            <w:r>
              <w:rPr>
                <w:rFonts w:hint="eastAsia" w:ascii="宋体" w:hAnsi="宋体" w:eastAsia="宋体" w:cs="Times New Roman"/>
                <w:szCs w:val="21"/>
              </w:rPr>
              <w:t>≥1</w:t>
            </w:r>
            <w:r>
              <w:rPr>
                <w:rFonts w:ascii="宋体" w:hAnsi="宋体" w:eastAsia="宋体" w:cs="Times New Roman"/>
                <w:szCs w:val="21"/>
              </w:rPr>
              <w:t>000个准入授权</w:t>
            </w:r>
            <w:r>
              <w:rPr>
                <w:rFonts w:hint="eastAsia" w:ascii="宋体" w:hAnsi="宋体" w:eastAsia="宋体" w:cs="Times New Roman"/>
                <w:szCs w:val="21"/>
              </w:rPr>
              <w:t>；提供3年原厂硬件质保服务</w:t>
            </w:r>
          </w:p>
          <w:p>
            <w:pPr>
              <w:rPr>
                <w:rFonts w:ascii="宋体" w:hAnsi="宋体" w:eastAsia="宋体" w:cs="Times New Roman"/>
                <w:b/>
                <w:szCs w:val="21"/>
              </w:rPr>
            </w:pPr>
            <w:r>
              <w:rPr>
                <w:rFonts w:hint="eastAsia" w:ascii="宋体" w:hAnsi="宋体" w:eastAsia="宋体" w:cs="Times New Roman"/>
                <w:b/>
                <w:szCs w:val="21"/>
              </w:rPr>
              <w:t>二、产品功能</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系统部署简单，支持旁路或串联部署，支持命令行与B/S模式管理，提供系统首页图形化展示功能，可展示设备面板状态、CPU状态、内存状态、硬盘状态、在线用户、报警统计等信息。</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可靠性：设备提供硬件BYPASS功能，支持双操作系统冷备、双机热备，在单机模式下，提供独立系统逃生工具。</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客户端兼容：支持windows XP、32位及64位windows7/8/8.1/10/server2008操作系统；浏览器：浏览器插件兼容IE8及以上版本。</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支持802.1X、Portal、透明网关、策略路由等多种准入模式选择，单设备情况下可进行混合准入模式应用。（提供功能截图）</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提供客户端认证及手机短信认证方式，客户端认证可与第三方AD域、LDAP服务器进行用户信息同步；手机短信认证可与短信服务器联动，在终端入网认证时下发验证码。</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支持终端信息绑定认证，可检查入网终端IP、终端MAC、用户名、交换机IP、交换机端口、终端硬件ID等多要素信息。</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支持访客入网管理，访客接入由受访人员（固定用户）协助其进行注册、账户创建等操作，并提供临时入网终端有效期管理，可设置在网时限。</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支持准入设备黑/白名单管理，可根据所应用的不同准入模式，设置黑/白名单终端IP、MAC、协议、端口、VLAN号等信息，以便针对该名单中设备进行入网控制。</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入网终端健康检查，对检查项可进行权重、修复向导自定义设置，检查项包括：系统时间检查、系统运行时长检查、Guest用户检查、AD域域名检查、Windows文件共享检查、Windows防火墙检查、必须/禁止运行进程检查、必须/禁止运行服务检查、必须/禁止安装软件检查、Windows桌面屏保检查、杀毒软件版本（小红伞、瑞星、金山毒霸、卡巴斯基、诺顿、360杀毒）等。</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支持终端接口外设监控，可对终端所有接口外设实施启停用控制，对USB设备添加USB硬件ID和设备信息，可设置例外项。</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支持终端非法外联监控，可判断通过http、telnet、ping三种方式检测主机违规外联行为，给予违规处理方式（不处理、重启、断网、提示），并信息提示。</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支持资产管理功能，可管理不同类型入网资产；提供交换机网络设备管理功能，可查看交换机设备接口状态、主机连接等详细信息。对入网资产可发现、可审批入网。</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提供终端解绑、资产登录、报警、系统、终端认证、健康检查等详细日志信息，可采取图形化方式统计分析，并自定义模板进行报表定时输出。</w:t>
            </w:r>
          </w:p>
          <w:p>
            <w:pPr>
              <w:numPr>
                <w:ilvl w:val="0"/>
                <w:numId w:val="2"/>
              </w:numPr>
              <w:spacing w:line="360" w:lineRule="auto"/>
              <w:rPr>
                <w:rFonts w:ascii="宋体" w:hAnsi="宋体" w:eastAsia="宋体" w:cs="Times New Roman"/>
                <w:szCs w:val="21"/>
              </w:rPr>
            </w:pPr>
            <w:r>
              <w:rPr>
                <w:rFonts w:hint="eastAsia" w:ascii="宋体" w:hAnsi="宋体" w:eastAsia="宋体" w:cs="Times New Roman"/>
                <w:szCs w:val="21"/>
              </w:rPr>
              <w:t>系统具备良好的使用体验与可管理性，支持系统界面与登录界面LOGO的自定义导入，可自由设置产品显示名称。管理员可进行准入系统的维护、升级、诊断分析等操作，支持图形化方式展示各类型数据所占磁盘状态，并提供备份、恢复、清理功能。</w:t>
            </w:r>
          </w:p>
        </w:tc>
      </w:tr>
    </w:tbl>
    <w:p>
      <w:pPr>
        <w:keepNext/>
        <w:keepLines/>
        <w:spacing w:before="260" w:after="260" w:line="416" w:lineRule="auto"/>
        <w:outlineLvl w:val="1"/>
        <w:rPr>
          <w:rFonts w:ascii="仿宋_GB2312" w:hAnsi="Calibri Light" w:eastAsia="仿宋_GB2312" w:cs="Times New Roman"/>
          <w:sz w:val="30"/>
          <w:szCs w:val="30"/>
        </w:rPr>
      </w:pPr>
    </w:p>
    <w:p>
      <w:pPr>
        <w:keepNext/>
        <w:keepLines/>
        <w:spacing w:before="260" w:after="260" w:line="416" w:lineRule="auto"/>
        <w:outlineLvl w:val="1"/>
        <w:rPr>
          <w:rFonts w:ascii="仿宋_GB2312" w:hAnsi="Calibri Light" w:eastAsia="仿宋_GB2312" w:cs="Times New Roman"/>
          <w:sz w:val="30"/>
          <w:szCs w:val="30"/>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283"/>
        <w:gridCol w:w="6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shd w:val="clear" w:color="auto" w:fill="auto"/>
            <w:vAlign w:val="center"/>
          </w:tcPr>
          <w:p>
            <w:pPr>
              <w:spacing w:line="400" w:lineRule="exact"/>
              <w:jc w:val="center"/>
              <w:rPr>
                <w:rFonts w:ascii="宋体" w:hAnsi="宋体" w:eastAsia="宋体" w:cs="Times New Roman"/>
                <w:szCs w:val="21"/>
              </w:rPr>
            </w:pPr>
            <w:r>
              <w:rPr>
                <w:rFonts w:ascii="宋体" w:hAnsi="宋体" w:eastAsia="宋体" w:cs="Times New Roman"/>
                <w:szCs w:val="21"/>
              </w:rPr>
              <w:t>3</w:t>
            </w:r>
          </w:p>
        </w:tc>
        <w:tc>
          <w:tcPr>
            <w:tcW w:w="1283"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 xml:space="preserve">日志审计 </w:t>
            </w:r>
          </w:p>
          <w:p>
            <w:pPr>
              <w:spacing w:line="400" w:lineRule="exact"/>
              <w:jc w:val="center"/>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套</w:t>
            </w:r>
          </w:p>
        </w:tc>
        <w:tc>
          <w:tcPr>
            <w:tcW w:w="6227" w:type="dxa"/>
            <w:shd w:val="clear" w:color="auto" w:fill="auto"/>
          </w:tcPr>
          <w:p>
            <w:pPr>
              <w:spacing w:line="400" w:lineRule="exact"/>
              <w:rPr>
                <w:rFonts w:ascii="宋体" w:hAnsi="宋体" w:eastAsia="宋体" w:cs="Times New Roman"/>
                <w:b/>
                <w:szCs w:val="21"/>
              </w:rPr>
            </w:pPr>
            <w:r>
              <w:rPr>
                <w:rFonts w:hint="eastAsia" w:ascii="宋体" w:hAnsi="宋体" w:eastAsia="宋体" w:cs="Times New Roman"/>
                <w:b/>
                <w:szCs w:val="21"/>
              </w:rPr>
              <w:t>一、基本要求</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纯软件交付，默认至少含日志收集、存储、查询、统计分析、告警响应等功能，默认至少包含</w:t>
            </w:r>
            <w:r>
              <w:rPr>
                <w:rFonts w:ascii="宋体" w:hAnsi="宋体" w:eastAsia="宋体" w:cs="Times New Roman"/>
                <w:szCs w:val="21"/>
              </w:rPr>
              <w:t>100</w:t>
            </w:r>
            <w:r>
              <w:rPr>
                <w:rFonts w:hint="eastAsia" w:ascii="宋体" w:hAnsi="宋体" w:eastAsia="宋体" w:cs="Times New Roman"/>
                <w:szCs w:val="21"/>
              </w:rPr>
              <w:t>个日志源授权。</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日志采集处理均值≥20000EPS，峰值≥35000EPS。</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支持安全设备、网络设备、中间件、服务器、数据库、操作系统、业务系统等不少于</w:t>
            </w:r>
            <w:r>
              <w:rPr>
                <w:rFonts w:ascii="宋体" w:hAnsi="宋体" w:eastAsia="宋体" w:cs="Times New Roman"/>
                <w:szCs w:val="21"/>
              </w:rPr>
              <w:t>26</w:t>
            </w:r>
            <w:r>
              <w:rPr>
                <w:rFonts w:hint="eastAsia" w:ascii="宋体" w:hAnsi="宋体" w:eastAsia="宋体" w:cs="Times New Roman"/>
                <w:szCs w:val="21"/>
              </w:rPr>
              <w:t>类</w:t>
            </w:r>
            <w:r>
              <w:rPr>
                <w:rFonts w:ascii="宋体" w:hAnsi="宋体" w:eastAsia="宋体" w:cs="Times New Roman"/>
                <w:szCs w:val="21"/>
              </w:rPr>
              <w:t>300</w:t>
            </w:r>
            <w:r>
              <w:rPr>
                <w:rFonts w:hint="eastAsia" w:ascii="宋体" w:hAnsi="宋体" w:eastAsia="宋体" w:cs="Times New Roman"/>
                <w:szCs w:val="21"/>
              </w:rPr>
              <w:t>种日志对象的日志数据采集。</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数据存储能力：压缩加密存储，压缩比不低10:1，日志存储不低于10000条/M；</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支持IPv6/IPv4双栈环境部署，对IPv6/IPv4日志源的日志进行高速采集。</w:t>
            </w:r>
          </w:p>
          <w:p>
            <w:pPr>
              <w:spacing w:line="400" w:lineRule="exact"/>
              <w:rPr>
                <w:rFonts w:ascii="宋体" w:hAnsi="宋体" w:eastAsia="宋体" w:cs="Times New Roman"/>
                <w:b/>
                <w:szCs w:val="21"/>
              </w:rPr>
            </w:pPr>
            <w:r>
              <w:rPr>
                <w:rFonts w:hint="eastAsia" w:ascii="宋体" w:hAnsi="宋体" w:eastAsia="宋体" w:cs="Times New Roman"/>
                <w:b/>
                <w:szCs w:val="21"/>
              </w:rPr>
              <w:t>二、产品功能</w:t>
            </w:r>
          </w:p>
          <w:p>
            <w:pPr>
              <w:numPr>
                <w:ilvl w:val="0"/>
                <w:numId w:val="3"/>
              </w:numPr>
              <w:spacing w:line="400" w:lineRule="exact"/>
              <w:rPr>
                <w:rFonts w:ascii="宋体" w:hAnsi="宋体" w:eastAsia="宋体" w:cs="Times New Roman"/>
                <w:szCs w:val="21"/>
              </w:rPr>
            </w:pPr>
            <w:r>
              <w:rPr>
                <w:rFonts w:ascii="宋体" w:hAnsi="宋体" w:eastAsia="宋体" w:cs="Times New Roman"/>
                <w:szCs w:val="21"/>
              </w:rPr>
              <w:t>基于时间轴展示数据分布</w:t>
            </w:r>
            <w:r>
              <w:rPr>
                <w:rFonts w:hint="eastAsia" w:ascii="宋体" w:hAnsi="宋体" w:eastAsia="宋体" w:cs="Times New Roman"/>
                <w:szCs w:val="21"/>
              </w:rPr>
              <w:t>，</w:t>
            </w:r>
            <w:r>
              <w:rPr>
                <w:rFonts w:ascii="宋体" w:hAnsi="宋体" w:eastAsia="宋体" w:cs="Times New Roman"/>
                <w:szCs w:val="21"/>
              </w:rPr>
              <w:t>能够通过时间轴进行查询分析</w:t>
            </w:r>
            <w:r>
              <w:rPr>
                <w:rFonts w:hint="eastAsia" w:ascii="宋体" w:hAnsi="宋体" w:eastAsia="宋体" w:cs="Times New Roman"/>
                <w:szCs w:val="21"/>
              </w:rPr>
              <w:t>；</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支持首页展示当日告警情况统计，支持展示当日最新告警</w:t>
            </w:r>
            <w:r>
              <w:rPr>
                <w:rFonts w:ascii="宋体" w:hAnsi="宋体" w:eastAsia="宋体" w:cs="Times New Roman"/>
                <w:szCs w:val="21"/>
              </w:rPr>
              <w:t>TOP10</w:t>
            </w:r>
            <w:r>
              <w:rPr>
                <w:rFonts w:hint="eastAsia" w:ascii="宋体" w:hAnsi="宋体" w:eastAsia="宋体" w:cs="Times New Roman"/>
                <w:szCs w:val="21"/>
              </w:rPr>
              <w:t>、</w:t>
            </w:r>
            <w:r>
              <w:rPr>
                <w:rFonts w:ascii="宋体" w:hAnsi="宋体" w:eastAsia="宋体" w:cs="Times New Roman"/>
                <w:szCs w:val="21"/>
              </w:rPr>
              <w:t>TOP30</w:t>
            </w:r>
            <w:r>
              <w:rPr>
                <w:rFonts w:hint="eastAsia" w:ascii="宋体" w:hAnsi="宋体" w:eastAsia="宋体" w:cs="Times New Roman"/>
                <w:szCs w:val="21"/>
              </w:rPr>
              <w:t>和</w:t>
            </w:r>
            <w:r>
              <w:rPr>
                <w:rFonts w:ascii="宋体" w:hAnsi="宋体" w:eastAsia="宋体" w:cs="Times New Roman"/>
                <w:szCs w:val="21"/>
              </w:rPr>
              <w:t>TOP50</w:t>
            </w:r>
            <w:r>
              <w:rPr>
                <w:rFonts w:hint="eastAsia" w:ascii="宋体" w:hAnsi="宋体" w:eastAsia="宋体" w:cs="Times New Roman"/>
                <w:szCs w:val="21"/>
              </w:rPr>
              <w:t>；</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支持实时自动刷新每个日志源的实时日志列表，支持在实时日志界面通过选择过滤器来监视所关注的特定类型的日志；</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支持对文本类型日志源进行限速采集，匀速采集日志，防止对系统资源产生突发冲击；（提供功能截图）</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支持百亿级数据交互式多条件查询，百亿级数据查询响应时间小于10s；</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支持对日志流量非常大但是日志重要程度低的</w:t>
            </w:r>
            <w:r>
              <w:rPr>
                <w:rFonts w:ascii="宋体" w:hAnsi="宋体" w:eastAsia="宋体" w:cs="Times New Roman"/>
                <w:szCs w:val="21"/>
              </w:rPr>
              <w:t>syslog</w:t>
            </w:r>
            <w:r>
              <w:rPr>
                <w:rFonts w:hint="eastAsia" w:ascii="宋体" w:hAnsi="宋体" w:eastAsia="宋体" w:cs="Times New Roman"/>
                <w:szCs w:val="21"/>
              </w:rPr>
              <w:t>类型日志源进行限制接收速率，降低对系统资源的占用，保障重要日志的收集；</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支持展示日志查询情况，包括查询条件命中数、日志总量、查询耗时等信息；</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支持首页以全国地图、全球地图展示最近</w:t>
            </w:r>
            <w:r>
              <w:rPr>
                <w:rFonts w:ascii="宋体" w:hAnsi="宋体" w:eastAsia="宋体" w:cs="Times New Roman"/>
                <w:szCs w:val="21"/>
              </w:rPr>
              <w:t>24</w:t>
            </w:r>
            <w:r>
              <w:rPr>
                <w:rFonts w:hint="eastAsia" w:ascii="宋体" w:hAnsi="宋体" w:eastAsia="宋体" w:cs="Times New Roman"/>
                <w:szCs w:val="21"/>
              </w:rPr>
              <w:t>小时日志访问源和访问目的的分布，能根据颜色区分访问来源和访问目的数据量大小，能够通过首页地图快速下钻查询指定区域的日志详细信息；</w:t>
            </w:r>
            <w:r>
              <w:rPr>
                <w:rFonts w:ascii="宋体" w:hAnsi="宋体" w:eastAsia="宋体" w:cs="Times New Roman"/>
                <w:szCs w:val="21"/>
              </w:rPr>
              <w:t xml:space="preserve"> </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支持根据设备重要程度设置独立设置每个被采集源的日志、报表数据存储时间为</w:t>
            </w:r>
            <w:r>
              <w:rPr>
                <w:rFonts w:ascii="宋体" w:hAnsi="宋体" w:eastAsia="宋体" w:cs="Times New Roman"/>
                <w:szCs w:val="21"/>
              </w:rPr>
              <w:t>1</w:t>
            </w:r>
            <w:r>
              <w:rPr>
                <w:rFonts w:hint="eastAsia" w:ascii="宋体" w:hAnsi="宋体" w:eastAsia="宋体" w:cs="Times New Roman"/>
                <w:szCs w:val="21"/>
              </w:rPr>
              <w:t>个月、</w:t>
            </w:r>
            <w:r>
              <w:rPr>
                <w:rFonts w:ascii="宋体" w:hAnsi="宋体" w:eastAsia="宋体" w:cs="Times New Roman"/>
                <w:szCs w:val="21"/>
              </w:rPr>
              <w:t>3</w:t>
            </w:r>
            <w:r>
              <w:rPr>
                <w:rFonts w:hint="eastAsia" w:ascii="宋体" w:hAnsi="宋体" w:eastAsia="宋体" w:cs="Times New Roman"/>
                <w:szCs w:val="21"/>
              </w:rPr>
              <w:t>个月、</w:t>
            </w:r>
            <w:r>
              <w:rPr>
                <w:rFonts w:ascii="宋体" w:hAnsi="宋体" w:eastAsia="宋体" w:cs="Times New Roman"/>
                <w:szCs w:val="21"/>
              </w:rPr>
              <w:t>6</w:t>
            </w:r>
            <w:r>
              <w:rPr>
                <w:rFonts w:hint="eastAsia" w:ascii="宋体" w:hAnsi="宋体" w:eastAsia="宋体" w:cs="Times New Roman"/>
                <w:szCs w:val="21"/>
              </w:rPr>
              <w:t>个月和永久保存等参数；（提供功能截图）</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支持在日志查询结果上针对源</w:t>
            </w:r>
            <w:r>
              <w:rPr>
                <w:rFonts w:ascii="宋体" w:hAnsi="宋体" w:eastAsia="宋体" w:cs="Times New Roman"/>
                <w:szCs w:val="21"/>
              </w:rPr>
              <w:t>IP</w:t>
            </w:r>
            <w:r>
              <w:rPr>
                <w:rFonts w:hint="eastAsia" w:ascii="宋体" w:hAnsi="宋体" w:eastAsia="宋体" w:cs="Times New Roman"/>
                <w:szCs w:val="21"/>
              </w:rPr>
              <w:t>、目的</w:t>
            </w:r>
            <w:r>
              <w:rPr>
                <w:rFonts w:ascii="宋体" w:hAnsi="宋体" w:eastAsia="宋体" w:cs="Times New Roman"/>
                <w:szCs w:val="21"/>
              </w:rPr>
              <w:t>IP</w:t>
            </w:r>
            <w:r>
              <w:rPr>
                <w:rFonts w:hint="eastAsia" w:ascii="宋体" w:hAnsi="宋体" w:eastAsia="宋体" w:cs="Times New Roman"/>
                <w:szCs w:val="21"/>
              </w:rPr>
              <w:t>、操作、源端口、目的端口等字段一键快速统计，以饼图方式展示，对于源</w:t>
            </w:r>
            <w:r>
              <w:rPr>
                <w:rFonts w:ascii="宋体" w:hAnsi="宋体" w:eastAsia="宋体" w:cs="Times New Roman"/>
                <w:szCs w:val="21"/>
              </w:rPr>
              <w:t>IP</w:t>
            </w:r>
            <w:r>
              <w:rPr>
                <w:rFonts w:hint="eastAsia" w:ascii="宋体" w:hAnsi="宋体" w:eastAsia="宋体" w:cs="Times New Roman"/>
                <w:szCs w:val="21"/>
              </w:rPr>
              <w:t>和目的</w:t>
            </w:r>
            <w:r>
              <w:rPr>
                <w:rFonts w:ascii="宋体" w:hAnsi="宋体" w:eastAsia="宋体" w:cs="Times New Roman"/>
                <w:szCs w:val="21"/>
              </w:rPr>
              <w:t>IP</w:t>
            </w:r>
            <w:r>
              <w:rPr>
                <w:rFonts w:hint="eastAsia" w:ascii="宋体" w:hAnsi="宋体" w:eastAsia="宋体" w:cs="Times New Roman"/>
                <w:szCs w:val="21"/>
              </w:rPr>
              <w:t>（公网地址）还支持以中国地图、世界地图方式展示，在统计图上能够进行点击下钻查询对应条件的日志结果；</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支持为不同类型日志设置不同的查询条件和显示条件；</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系统内置上百种报表模版，支持自动实现智能报表创建，每添加一个日志源，系统自动分析日志源类型进行相应报表创建，无需人工干预，报表和资产一一对应；</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支持对重点日志源的关注设置，并可通过关注列表快速查看重点日志源的状态、当日日志量、采集日志总量、最近接收时间、业务组等基础信息；</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支持基于拓扑图的日志源相关数据信息快速查看；支持通过拓扑下钻查看对应日志源的日志、报表、告警数据；</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支持将常用</w:t>
            </w:r>
            <w:r>
              <w:rPr>
                <w:rFonts w:ascii="宋体" w:hAnsi="宋体" w:eastAsia="宋体" w:cs="Times New Roman"/>
                <w:szCs w:val="21"/>
              </w:rPr>
              <w:t>IP</w:t>
            </w:r>
            <w:r>
              <w:rPr>
                <w:rFonts w:hint="eastAsia" w:ascii="宋体" w:hAnsi="宋体" w:eastAsia="宋体" w:cs="Times New Roman"/>
                <w:szCs w:val="21"/>
              </w:rPr>
              <w:t>地址或</w:t>
            </w:r>
            <w:r>
              <w:rPr>
                <w:rFonts w:ascii="宋体" w:hAnsi="宋体" w:eastAsia="宋体" w:cs="Times New Roman"/>
                <w:szCs w:val="21"/>
              </w:rPr>
              <w:t>IP</w:t>
            </w:r>
            <w:r>
              <w:rPr>
                <w:rFonts w:hint="eastAsia" w:ascii="宋体" w:hAnsi="宋体" w:eastAsia="宋体" w:cs="Times New Roman"/>
                <w:szCs w:val="21"/>
              </w:rPr>
              <w:t>地址网段标记为自定义名称，在日志查询界面可以在</w:t>
            </w:r>
            <w:r>
              <w:rPr>
                <w:rFonts w:ascii="宋体" w:hAnsi="宋体" w:eastAsia="宋体" w:cs="Times New Roman"/>
                <w:szCs w:val="21"/>
              </w:rPr>
              <w:t>IP</w:t>
            </w:r>
            <w:r>
              <w:rPr>
                <w:rFonts w:hint="eastAsia" w:ascii="宋体" w:hAnsi="宋体" w:eastAsia="宋体" w:cs="Times New Roman"/>
                <w:szCs w:val="21"/>
              </w:rPr>
              <w:t>列中对应悬浮显示自定义名称；</w:t>
            </w:r>
          </w:p>
          <w:p>
            <w:pPr>
              <w:numPr>
                <w:ilvl w:val="0"/>
                <w:numId w:val="3"/>
              </w:numPr>
              <w:spacing w:line="400" w:lineRule="exact"/>
              <w:rPr>
                <w:rFonts w:ascii="宋体" w:hAnsi="宋体" w:eastAsia="宋体" w:cs="Times New Roman"/>
                <w:szCs w:val="21"/>
              </w:rPr>
            </w:pPr>
            <w:r>
              <w:rPr>
                <w:rFonts w:hint="eastAsia" w:ascii="宋体" w:hAnsi="宋体" w:eastAsia="宋体" w:cs="Times New Roman"/>
                <w:szCs w:val="21"/>
              </w:rPr>
              <w:t>支持按照日志源名称、</w:t>
            </w:r>
            <w:r>
              <w:rPr>
                <w:rFonts w:ascii="宋体" w:hAnsi="宋体" w:eastAsia="宋体" w:cs="Times New Roman"/>
                <w:szCs w:val="21"/>
              </w:rPr>
              <w:t>IP</w:t>
            </w:r>
            <w:r>
              <w:rPr>
                <w:rFonts w:hint="eastAsia" w:ascii="宋体" w:hAnsi="宋体" w:eastAsia="宋体" w:cs="Times New Roman"/>
                <w:szCs w:val="21"/>
              </w:rPr>
              <w:t>地址、日志源类型、接受时间及状态等维度对日志源列表进行排序。</w:t>
            </w:r>
          </w:p>
        </w:tc>
      </w:tr>
    </w:tbl>
    <w:p>
      <w:pPr>
        <w:keepNext/>
        <w:keepLines/>
        <w:spacing w:before="340" w:after="330" w:line="578" w:lineRule="auto"/>
        <w:outlineLvl w:val="0"/>
        <w:rPr>
          <w:rFonts w:ascii="宋体" w:hAnsi="宋体" w:eastAsia="宋体" w:cs="Times New Roman"/>
          <w:kern w:val="44"/>
          <w:szCs w:val="21"/>
        </w:rPr>
      </w:pPr>
      <w:r>
        <w:rPr>
          <w:rFonts w:hint="eastAsia" w:ascii="宋体" w:hAnsi="宋体" w:eastAsia="宋体" w:cs="Times New Roman"/>
          <w:kern w:val="44"/>
          <w:szCs w:val="21"/>
        </w:rPr>
        <w:t>（二）数据灾备部分</w:t>
      </w:r>
    </w:p>
    <w:tbl>
      <w:tblPr>
        <w:tblStyle w:val="5"/>
        <w:tblpPr w:leftFromText="180" w:rightFromText="180" w:vertAnchor="text" w:horzAnchor="margin" w:tblpY="-1"/>
        <w:tblW w:w="8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19"/>
        <w:gridCol w:w="1276"/>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61" w:type="dxa"/>
            <w:shd w:val="clear" w:color="auto" w:fill="auto"/>
            <w:vAlign w:val="center"/>
          </w:tcPr>
          <w:p>
            <w:pPr>
              <w:jc w:val="center"/>
              <w:rPr>
                <w:rFonts w:ascii="Calibri" w:hAnsi="Calibri" w:eastAsia="宋体" w:cs="Times New Roman"/>
              </w:rPr>
            </w:pPr>
            <w:r>
              <w:rPr>
                <w:rFonts w:ascii="Calibri" w:hAnsi="Calibri" w:eastAsia="宋体" w:cs="Times New Roman"/>
              </w:rPr>
              <w:t>3</w:t>
            </w:r>
          </w:p>
        </w:tc>
        <w:tc>
          <w:tcPr>
            <w:tcW w:w="1219" w:type="dxa"/>
            <w:shd w:val="clear" w:color="auto" w:fill="auto"/>
            <w:vAlign w:val="center"/>
          </w:tcPr>
          <w:p>
            <w:pPr>
              <w:jc w:val="center"/>
              <w:rPr>
                <w:rFonts w:ascii="Calibri" w:hAnsi="Calibri" w:eastAsia="宋体" w:cs="Times New Roman"/>
              </w:rPr>
            </w:pPr>
            <w:r>
              <w:rPr>
                <w:rFonts w:hint="eastAsia" w:ascii="Calibri" w:hAnsi="Calibri" w:eastAsia="宋体" w:cs="Times New Roman"/>
              </w:rPr>
              <w:t>超融合管理系统</w:t>
            </w:r>
          </w:p>
        </w:tc>
        <w:tc>
          <w:tcPr>
            <w:tcW w:w="1276" w:type="dxa"/>
            <w:shd w:val="clear" w:color="auto" w:fill="auto"/>
            <w:vAlign w:val="center"/>
          </w:tcPr>
          <w:p>
            <w:pPr>
              <w:jc w:val="center"/>
              <w:rPr>
                <w:rFonts w:ascii="Calibri" w:hAnsi="Calibri" w:eastAsia="宋体" w:cs="Times New Roman"/>
              </w:rPr>
            </w:pPr>
            <w:r>
              <w:rPr>
                <w:rFonts w:ascii="Calibri" w:hAnsi="Calibri" w:eastAsia="宋体" w:cs="Times New Roman"/>
              </w:rPr>
              <w:t>3</w:t>
            </w:r>
            <w:r>
              <w:rPr>
                <w:rFonts w:hint="eastAsia" w:ascii="Calibri" w:hAnsi="Calibri" w:eastAsia="宋体" w:cs="Times New Roman"/>
              </w:rPr>
              <w:t>套</w:t>
            </w:r>
          </w:p>
        </w:tc>
        <w:tc>
          <w:tcPr>
            <w:tcW w:w="5715" w:type="dxa"/>
            <w:shd w:val="clear" w:color="auto" w:fill="auto"/>
            <w:vAlign w:val="center"/>
          </w:tcPr>
          <w:p>
            <w:pPr>
              <w:jc w:val="left"/>
              <w:rPr>
                <w:rFonts w:ascii="Calibri" w:hAnsi="Calibri" w:eastAsia="宋体" w:cs="Times New Roman"/>
                <w:b/>
              </w:rPr>
            </w:pPr>
            <w:r>
              <w:rPr>
                <w:rFonts w:hint="eastAsia" w:ascii="Calibri" w:hAnsi="Calibri" w:eastAsia="宋体" w:cs="Times New Roman"/>
                <w:b/>
              </w:rPr>
              <w:t>一、基本要求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支持一体机和软件两种方式交付，软件交付方式可以兼容市场上主流服务器厂商X86架构服务器，包括DELLEMC、IBM、HPE、联想、浪潮、华为、曙光、宝德等。</w:t>
            </w:r>
          </w:p>
          <w:p>
            <w:pPr>
              <w:numPr>
                <w:ilvl w:val="0"/>
                <w:numId w:val="5"/>
              </w:numPr>
              <w:spacing w:line="360" w:lineRule="auto"/>
              <w:jc w:val="left"/>
              <w:rPr>
                <w:rFonts w:ascii="Calibri" w:hAnsi="Calibri" w:eastAsia="宋体" w:cs="Times New Roman"/>
                <w:szCs w:val="21"/>
              </w:rPr>
            </w:pPr>
            <w:r>
              <w:rPr>
                <w:rFonts w:hint="eastAsia" w:ascii="Calibri" w:hAnsi="Calibri" w:eastAsia="宋体" w:cs="Times New Roman"/>
                <w:szCs w:val="21"/>
              </w:rPr>
              <w:t>标准机架式2U服务器，含≥2颗</w:t>
            </w:r>
            <w:r>
              <w:rPr>
                <w:rFonts w:ascii="Calibri" w:hAnsi="Calibri" w:eastAsia="宋体" w:cs="Times New Roman"/>
                <w:szCs w:val="21"/>
              </w:rPr>
              <w:t>Intel Silver 4210R</w:t>
            </w:r>
            <w:r>
              <w:rPr>
                <w:rFonts w:hint="eastAsia" w:ascii="Calibri" w:hAnsi="Calibri" w:eastAsia="宋体" w:cs="Times New Roman"/>
                <w:szCs w:val="21"/>
              </w:rPr>
              <w:t>处理器， 标配DDR4内存≥128GB，内置≥2块2</w:t>
            </w:r>
            <w:r>
              <w:rPr>
                <w:rFonts w:ascii="Calibri" w:hAnsi="Calibri" w:eastAsia="宋体" w:cs="Times New Roman"/>
                <w:szCs w:val="21"/>
              </w:rPr>
              <w:t>40</w:t>
            </w:r>
            <w:r>
              <w:rPr>
                <w:rFonts w:hint="eastAsia" w:ascii="Calibri" w:hAnsi="Calibri" w:eastAsia="宋体" w:cs="Times New Roman"/>
                <w:szCs w:val="21"/>
              </w:rPr>
              <w:t>GB SSD系统盘，≥2个千兆电口，≥2个万兆光口，集成IPMI管理模块，前置≥8个热插拔盘位，550W冗余电源；</w:t>
            </w:r>
          </w:p>
          <w:p>
            <w:pPr>
              <w:numPr>
                <w:ilvl w:val="0"/>
                <w:numId w:val="5"/>
              </w:numPr>
              <w:spacing w:line="360" w:lineRule="auto"/>
              <w:jc w:val="left"/>
              <w:rPr>
                <w:rFonts w:ascii="Calibri" w:hAnsi="Calibri" w:eastAsia="宋体" w:cs="Times New Roman"/>
                <w:szCs w:val="21"/>
              </w:rPr>
            </w:pPr>
            <w:r>
              <w:rPr>
                <w:rFonts w:hint="eastAsia" w:ascii="Calibri" w:hAnsi="Calibri" w:eastAsia="宋体" w:cs="Times New Roman"/>
                <w:szCs w:val="21"/>
              </w:rPr>
              <w:t>配置≥4块</w:t>
            </w:r>
            <w:r>
              <w:rPr>
                <w:rFonts w:ascii="Calibri" w:hAnsi="Calibri" w:eastAsia="宋体" w:cs="Times New Roman"/>
                <w:szCs w:val="21"/>
              </w:rPr>
              <w:t>10</w:t>
            </w:r>
            <w:r>
              <w:rPr>
                <w:rFonts w:hint="eastAsia" w:ascii="Calibri" w:hAnsi="Calibri" w:eastAsia="宋体" w:cs="Times New Roman"/>
                <w:szCs w:val="21"/>
              </w:rPr>
              <w:t>TB 7200转3.5寸SATA硬盘 ，≥</w:t>
            </w:r>
            <w:r>
              <w:rPr>
                <w:rFonts w:ascii="Calibri" w:hAnsi="Calibri" w:eastAsia="宋体" w:cs="Times New Roman"/>
                <w:szCs w:val="21"/>
              </w:rPr>
              <w:t>1</w:t>
            </w:r>
            <w:r>
              <w:rPr>
                <w:rFonts w:hint="eastAsia" w:ascii="Calibri" w:hAnsi="Calibri" w:eastAsia="宋体" w:cs="Times New Roman"/>
                <w:szCs w:val="21"/>
              </w:rPr>
              <w:t>块256GB SSD固态硬盘；</w:t>
            </w:r>
          </w:p>
          <w:p>
            <w:pPr>
              <w:numPr>
                <w:ilvl w:val="0"/>
                <w:numId w:val="5"/>
              </w:numPr>
              <w:spacing w:line="360" w:lineRule="auto"/>
              <w:jc w:val="left"/>
              <w:rPr>
                <w:rFonts w:ascii="Calibri" w:hAnsi="Calibri" w:eastAsia="宋体" w:cs="Times New Roman"/>
                <w:szCs w:val="21"/>
              </w:rPr>
            </w:pPr>
            <w:r>
              <w:rPr>
                <w:rFonts w:hint="eastAsia" w:ascii="宋体" w:hAnsi="宋体" w:eastAsia="宋体" w:cs="Times New Roman"/>
                <w:szCs w:val="21"/>
              </w:rPr>
              <w:t>提供3年原厂硬件质保服务</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支持服务器磁盘在线扩容，系统自动发现新增硬盘，自动扩容存储容量，最少可以支持1块磁盘扩容，增加灵活性，支持磁盘退役功能，被设置为退役的硬盘，数据自动迁移到集群其它服务器节点磁盘中；</w:t>
            </w:r>
          </w:p>
          <w:p>
            <w:pPr>
              <w:numPr>
                <w:ilvl w:val="0"/>
                <w:numId w:val="5"/>
              </w:numPr>
              <w:spacing w:line="360" w:lineRule="auto"/>
              <w:jc w:val="left"/>
              <w:rPr>
                <w:rFonts w:ascii="Calibri" w:hAnsi="Calibri" w:eastAsia="宋体" w:cs="Times New Roman"/>
              </w:rPr>
            </w:pPr>
            <w:r>
              <w:rPr>
                <w:rFonts w:ascii="Calibri" w:hAnsi="Calibri" w:eastAsia="宋体" w:cs="Times New Roman"/>
              </w:rPr>
              <w:t>一体机的后续集群扩展</w:t>
            </w:r>
            <w:r>
              <w:rPr>
                <w:rFonts w:hint="eastAsia" w:ascii="Calibri" w:hAnsi="Calibri" w:eastAsia="宋体" w:cs="Times New Roman"/>
              </w:rPr>
              <w:t>，支持集群服务器节点数量在线扩容，通过自动发现新增节点实现自动扩容，最少可以支持1节点扩容，且分布式存储属于自主研发产品，具有自主知识产权，不能使用开源分布式存储或基于开源分布式存储（如Glusterfs、Ceph等）二次开发的产品；</w:t>
            </w:r>
          </w:p>
          <w:p>
            <w:pPr>
              <w:numPr>
                <w:ilvl w:val="0"/>
                <w:numId w:val="5"/>
              </w:numPr>
              <w:spacing w:line="360" w:lineRule="auto"/>
              <w:jc w:val="left"/>
              <w:rPr>
                <w:rFonts w:ascii="Calibri" w:hAnsi="Calibri" w:eastAsia="宋体" w:cs="Times New Roman"/>
                <w:b/>
              </w:rPr>
            </w:pPr>
            <w:r>
              <w:rPr>
                <w:rFonts w:ascii="Calibri" w:hAnsi="Calibri" w:eastAsia="宋体" w:cs="Times New Roman"/>
              </w:rPr>
              <w:t>设备内集成统一云管平台</w:t>
            </w:r>
            <w:r>
              <w:rPr>
                <w:rFonts w:hint="eastAsia" w:ascii="Calibri" w:hAnsi="Calibri" w:eastAsia="宋体" w:cs="Times New Roman"/>
              </w:rPr>
              <w:t>、</w:t>
            </w:r>
            <w:r>
              <w:rPr>
                <w:rFonts w:ascii="Calibri" w:hAnsi="Calibri" w:eastAsia="宋体" w:cs="Times New Roman"/>
              </w:rPr>
              <w:t>服务器虚拟化</w:t>
            </w:r>
            <w:r>
              <w:rPr>
                <w:rFonts w:hint="eastAsia" w:ascii="Calibri" w:hAnsi="Calibri" w:eastAsia="宋体" w:cs="Times New Roman"/>
              </w:rPr>
              <w:t>、</w:t>
            </w:r>
            <w:r>
              <w:rPr>
                <w:rFonts w:ascii="Calibri" w:hAnsi="Calibri" w:eastAsia="宋体" w:cs="Times New Roman"/>
              </w:rPr>
              <w:t>存储虚拟化</w:t>
            </w:r>
            <w:r>
              <w:rPr>
                <w:rFonts w:hint="eastAsia" w:ascii="Calibri" w:hAnsi="Calibri" w:eastAsia="宋体" w:cs="Times New Roman"/>
              </w:rPr>
              <w:t>、</w:t>
            </w:r>
            <w:r>
              <w:rPr>
                <w:rFonts w:ascii="Calibri" w:hAnsi="Calibri" w:eastAsia="宋体" w:cs="Times New Roman"/>
              </w:rPr>
              <w:t>网络虚拟化</w:t>
            </w:r>
            <w:r>
              <w:rPr>
                <w:rFonts w:hint="eastAsia" w:ascii="Calibri" w:hAnsi="Calibri" w:eastAsia="宋体" w:cs="Times New Roman"/>
              </w:rPr>
              <w:t>、C</w:t>
            </w:r>
            <w:r>
              <w:rPr>
                <w:rFonts w:ascii="Calibri" w:hAnsi="Calibri" w:eastAsia="宋体" w:cs="Times New Roman"/>
              </w:rPr>
              <w:t>DP备份功能</w:t>
            </w:r>
            <w:r>
              <w:rPr>
                <w:rFonts w:hint="eastAsia" w:ascii="Calibri" w:hAnsi="Calibri" w:eastAsia="宋体" w:cs="Times New Roman"/>
              </w:rPr>
              <w:t>，支持物理C</w:t>
            </w:r>
            <w:r>
              <w:rPr>
                <w:rFonts w:ascii="Calibri" w:hAnsi="Calibri" w:eastAsia="宋体" w:cs="Times New Roman"/>
              </w:rPr>
              <w:t>PU延伸集群</w:t>
            </w:r>
            <w:r>
              <w:rPr>
                <w:rFonts w:hint="eastAsia" w:ascii="Calibri" w:hAnsi="Calibri" w:eastAsia="宋体" w:cs="Times New Roman"/>
              </w:rPr>
              <w:t>，上述软件功能模块与超融合管理系统必须同属于一个品牌软件，无需额外单独部署，通过统一云管平台进行集中管理。</w:t>
            </w:r>
          </w:p>
          <w:p>
            <w:pPr>
              <w:jc w:val="left"/>
              <w:rPr>
                <w:rFonts w:ascii="Calibri" w:hAnsi="Calibri" w:eastAsia="宋体" w:cs="Times New Roman"/>
                <w:b/>
              </w:rPr>
            </w:pPr>
            <w:r>
              <w:rPr>
                <w:rFonts w:ascii="Calibri" w:hAnsi="Calibri" w:eastAsia="宋体" w:cs="Times New Roman"/>
                <w:b/>
              </w:rPr>
              <w:t>二</w:t>
            </w:r>
            <w:r>
              <w:rPr>
                <w:rFonts w:hint="eastAsia" w:ascii="Calibri" w:hAnsi="Calibri" w:eastAsia="宋体" w:cs="Times New Roman"/>
                <w:b/>
              </w:rPr>
              <w:t>、</w:t>
            </w:r>
            <w:r>
              <w:rPr>
                <w:rFonts w:ascii="Calibri" w:hAnsi="Calibri" w:eastAsia="宋体" w:cs="Times New Roman"/>
                <w:b/>
              </w:rPr>
              <w:t>功能要求</w:t>
            </w:r>
          </w:p>
          <w:p>
            <w:pPr>
              <w:jc w:val="left"/>
              <w:rPr>
                <w:rFonts w:ascii="Calibri" w:hAnsi="Calibri" w:eastAsia="宋体" w:cs="Times New Roman"/>
                <w:b/>
              </w:rPr>
            </w:pPr>
            <w:r>
              <w:rPr>
                <w:rFonts w:ascii="Calibri" w:hAnsi="Calibri" w:eastAsia="宋体" w:cs="Times New Roman"/>
                <w:b/>
              </w:rPr>
              <w:t>平台要求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产品采用完全分布式架构构建，包括计算、存储、网络及云管，单点故障不影响集群正常运行，保障集群的稳定性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产品采用去中心化的分布式架构，登录到任何一个节点的管理</w:t>
            </w:r>
            <w:r>
              <w:rPr>
                <w:rFonts w:ascii="Calibri" w:hAnsi="Calibri" w:eastAsia="宋体" w:cs="Times New Roman"/>
              </w:rPr>
              <w:t>VM</w:t>
            </w:r>
            <w:r>
              <w:rPr>
                <w:rFonts w:hint="eastAsia" w:ascii="Calibri" w:hAnsi="Calibri" w:eastAsia="宋体" w:cs="Times New Roman"/>
              </w:rPr>
              <w:t>可以对整个集群进行管理，无需部署额外管理节点</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分布式存储通过多副本冗余技术实现数据高可用性，最小支持1副本，最高支持6个副本，支持虚拟机级别副本设置，可以按照业务的安全需求给不同虚拟机设置不同数量副本，提升灵活性；（提供功能截图）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设备虚拟化功能服务，无需额外增加或替换软件/硬件前提下，通过License激活的方式，实现安全虚拟化功能，超融合云安全产品（包括分布式防火墙、下一代防火墙、WAF、负载均衡、基线核查、日志审计、终端杀毒等）采用具有自主知识产权产品，非使用第三方OEM产品，保证良好的兼容性和扩展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支持服务器节点退役功能，退役主机的数据自动迁移之其它正常服务器节点（提供功能截图）；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支持服务器节点维护模式，维护过程中不会触发数据重构机制，保证集群存储性能最佳（提供功能截图）；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支持基于</w:t>
            </w:r>
            <w:r>
              <w:rPr>
                <w:rFonts w:ascii="Calibri" w:hAnsi="Calibri" w:eastAsia="宋体" w:cs="Times New Roman"/>
              </w:rPr>
              <w:t>Web</w:t>
            </w:r>
            <w:r>
              <w:rPr>
                <w:rFonts w:hint="eastAsia" w:ascii="Calibri" w:hAnsi="Calibri" w:eastAsia="宋体" w:cs="Times New Roman"/>
              </w:rPr>
              <w:t>界面快速扩容计算和存储节点，通过扫描主机或者手动添加的方式增加主机，扩大集群功能，支持基于界面自定义物理主机角色，角色包括计算角色、数据角色、接入角色（提供功能截图）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支持部署多种服务器虚拟化软件，至少包含VMware vSphere、Hyper-V、KVM等市场上主流虚拟化产品；</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支持一键恢复出厂设置，可以快速清除宿主机配置，将宿主机一键恢复到初始化前状态，避免由于失误配置重新安装系统情况；</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支持IP访问策略控制功能设置，可以通过白名单和黑名单方式设置允许访问的IP地址或IP地址段，提升平台安全性；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支持基于Web界面快速扩容计算和存储节点，通过扫描主机或者手动添加的方式增加主机，扩大集群功能，支持基于界面自定义物理主机角色，角色包括计算角色、数据角色、接入角色;</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支持对超融合主机进行监控与展示，包括主机操作系统、CPU、内存、网卡、磁盘、USB外设以及C</w:t>
            </w:r>
            <w:r>
              <w:rPr>
                <w:rFonts w:ascii="Calibri" w:hAnsi="Calibri" w:eastAsia="宋体" w:cs="Times New Roman"/>
              </w:rPr>
              <w:t>PU</w:t>
            </w:r>
            <w:r>
              <w:rPr>
                <w:rFonts w:hint="eastAsia" w:ascii="Calibri" w:hAnsi="Calibri" w:eastAsia="宋体" w:cs="Times New Roman"/>
              </w:rPr>
              <w:t>使用率、内存使用率等；</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支持实时性能监控功能，可以对集群多种对象进行性能监控与展示，包括主机负载、C</w:t>
            </w:r>
            <w:r>
              <w:rPr>
                <w:rFonts w:ascii="Calibri" w:hAnsi="Calibri" w:eastAsia="宋体" w:cs="Times New Roman"/>
              </w:rPr>
              <w:t>PU</w:t>
            </w:r>
            <w:r>
              <w:rPr>
                <w:rFonts w:hint="eastAsia" w:ascii="Calibri" w:hAnsi="Calibri" w:eastAsia="宋体" w:cs="Times New Roman"/>
              </w:rPr>
              <w:t>使用率、内存使用率、磁盘读写I</w:t>
            </w:r>
            <w:r>
              <w:rPr>
                <w:rFonts w:ascii="Calibri" w:hAnsi="Calibri" w:eastAsia="宋体" w:cs="Times New Roman"/>
              </w:rPr>
              <w:t>OPS</w:t>
            </w:r>
            <w:r>
              <w:rPr>
                <w:rFonts w:hint="eastAsia" w:ascii="Calibri" w:hAnsi="Calibri" w:eastAsia="宋体" w:cs="Times New Roman"/>
              </w:rPr>
              <w:t>及M</w:t>
            </w:r>
            <w:r>
              <w:rPr>
                <w:rFonts w:ascii="Calibri" w:hAnsi="Calibri" w:eastAsia="宋体" w:cs="Times New Roman"/>
              </w:rPr>
              <w:t>BPS</w:t>
            </w:r>
            <w:r>
              <w:rPr>
                <w:rFonts w:hint="eastAsia" w:ascii="Calibri" w:hAnsi="Calibri" w:eastAsia="宋体" w:cs="Times New Roman"/>
              </w:rPr>
              <w:t>、网卡读写带宽等，为监控及性能问题排错提供依据；</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支持自动化任务功能配置，可以自定义任务类型及执行策略，任务类型包括虚拟机快照及备份、存储卷快照及备份和集群巡检等，提升管理效率；</w:t>
            </w:r>
          </w:p>
          <w:p>
            <w:pPr>
              <w:jc w:val="left"/>
              <w:rPr>
                <w:rFonts w:ascii="Calibri" w:hAnsi="Calibri" w:eastAsia="宋体" w:cs="Times New Roman"/>
                <w:b/>
              </w:rPr>
            </w:pPr>
            <w:r>
              <w:rPr>
                <w:rFonts w:ascii="Calibri" w:hAnsi="Calibri" w:eastAsia="宋体" w:cs="Times New Roman"/>
                <w:b/>
              </w:rPr>
              <w:t>计算虚拟化需求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支持异构虚拟化平台集中管理，可以对VMware vSphere环境进行纳管、双向虚拟机在线迁移及双向异步容灾，支持VMware虚拟机资源（池）的生命周期管理，包括创建、克隆、迁移、挂起、配置、删除和查询等操作, 可以实现与VMware vSphere环境双向异步容灾，超融合平台虚拟机可以容灾到VMware环境，同时VMware环境虚拟机也可以容灾到超融合平台（提供功能截图）；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支持内存缓存功能，可以利用物理内存作为缓存，以提升访问高性能，实现内存、SSD及HDD存储分层；</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存储本地化设置，虚拟机设置好本地化后会在服务器本地存储建立完整的副本，其他副本在其他服务器磁盘均匀放置，此时访问无需跨越网络，提升存储性能，当虚拟机迁移到其他服务器，会继续在本地建立完整副本；</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支持虚拟机存储链路冗余设置，可以设置多条访问存储卷的链路，提升虚拟机访问存储的可靠性和性能（提供功能截图）；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支持详细的Guest OS使用情况监控，包括系统磁盘数量、磁盘分区、磁盘使用率、系统进程及系统连接数量，提升管理效率；</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支持虚拟机最后一屏功能，指在发生意外故障导致的虚拟机停机，可以将虚拟机最后一屏信息进行截图，为后续排错提供依据；</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支持通过VNC和Spice两种方式远程访问虚拟机控制台，支持Spice方式设置独立访问密码，保证访问安全性；</w:t>
            </w:r>
          </w:p>
          <w:p>
            <w:pPr>
              <w:jc w:val="left"/>
              <w:rPr>
                <w:rFonts w:ascii="Calibri" w:hAnsi="Calibri" w:eastAsia="宋体" w:cs="Times New Roman"/>
                <w:b/>
              </w:rPr>
            </w:pPr>
            <w:r>
              <w:rPr>
                <w:rFonts w:ascii="Calibri" w:hAnsi="Calibri" w:eastAsia="宋体" w:cs="Times New Roman"/>
                <w:b/>
              </w:rPr>
              <w:t>存储虚拟化要求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bookmarkStart w:id="7" w:name="_Hlk54280302"/>
            <w:r>
              <w:rPr>
                <w:rFonts w:hint="eastAsia" w:ascii="Calibri" w:hAnsi="Calibri" w:eastAsia="宋体" w:cs="Times New Roman"/>
              </w:rPr>
              <w:t>支持服务器在线扩容磁盘，增加一体机存储容量，最少可以支持</w:t>
            </w:r>
            <w:r>
              <w:rPr>
                <w:rFonts w:ascii="Calibri" w:hAnsi="Calibri" w:eastAsia="宋体" w:cs="Times New Roman"/>
              </w:rPr>
              <w:t>1</w:t>
            </w:r>
            <w:r>
              <w:rPr>
                <w:rFonts w:hint="eastAsia" w:ascii="Calibri" w:hAnsi="Calibri" w:eastAsia="宋体" w:cs="Times New Roman"/>
              </w:rPr>
              <w:t>块磁盘扩容，增加灵活</w:t>
            </w:r>
            <w:bookmarkEnd w:id="7"/>
            <w:r>
              <w:rPr>
                <w:rFonts w:hint="eastAsia" w:ascii="Calibri" w:hAnsi="Calibri" w:eastAsia="宋体" w:cs="Times New Roman"/>
              </w:rPr>
              <w:t>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支持磁盘退役功能，被设置为退役的硬盘，数据自动迁移到集群其它服务器节点磁盘中</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支持对象存储服务，可以向外部系统提供对象存储服务，支持S3及Swift接口类型，支持SSL加密传输，满足非结构化数据存储需求，减少存储额外开支；（提供功能截图）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分布式存储通过多副本冗余技术实现数据高可用性，支持基于存储卷级别的副本设定，可以针对不同场景灵活配置不同级别的副本数，最小支持</w:t>
            </w:r>
            <w:r>
              <w:rPr>
                <w:rFonts w:ascii="Calibri" w:hAnsi="Calibri" w:eastAsia="宋体" w:cs="Times New Roman"/>
              </w:rPr>
              <w:t>1</w:t>
            </w:r>
            <w:r>
              <w:rPr>
                <w:rFonts w:hint="eastAsia" w:ascii="Calibri" w:hAnsi="Calibri" w:eastAsia="宋体" w:cs="Times New Roman"/>
              </w:rPr>
              <w:t>副本，最高支持</w:t>
            </w:r>
            <w:r>
              <w:rPr>
                <w:rFonts w:ascii="Calibri" w:hAnsi="Calibri" w:eastAsia="宋体" w:cs="Times New Roman"/>
              </w:rPr>
              <w:t>6</w:t>
            </w:r>
            <w:r>
              <w:rPr>
                <w:rFonts w:hint="eastAsia" w:ascii="Calibri" w:hAnsi="Calibri" w:eastAsia="宋体" w:cs="Times New Roman"/>
              </w:rPr>
              <w:t>个副本，副本实现跨磁盘、跨节点、跨机架放置模式</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支持存储卷的数据块副本图形显示和操作，可以监控数据块的当前状态，可以按需调整数据块所在的主机和磁盘位置，指定数据块副本的读取优先级，保证数据安全性；</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支持存储数据自定义一致性，可以设置弱一致、强一致、最终一致，针对不同的环境灵活使用；（提供功能截图）</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支持网络监控与分析功能，可以对指定网络进行流量、协议及端口监控，支持规则定义、信息过滤等，提供完整流量分析功能；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支持业务虚拟机级容灾配置，提供图形化RPO范围配置，支持1秒到1周；</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要求在SSD+HDD混闪硬盘硬件配置情况下，支持虚拟机运行在SSD闪盘模式，提升关键业务存储性能；</w:t>
            </w:r>
          </w:p>
          <w:p>
            <w:pPr>
              <w:jc w:val="left"/>
              <w:rPr>
                <w:rFonts w:ascii="Calibri" w:hAnsi="Calibri" w:eastAsia="宋体" w:cs="Times New Roman"/>
                <w:b/>
              </w:rPr>
            </w:pPr>
            <w:r>
              <w:rPr>
                <w:rFonts w:ascii="Calibri" w:hAnsi="Calibri" w:eastAsia="宋体" w:cs="Times New Roman"/>
                <w:b/>
              </w:rPr>
              <w:t>网络虚拟化要求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支持本地网络功能，通过划分不同的虚拟网络交换机和虚拟端口组进行网络规划，支持端口镜像功能；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支持灵活的链路聚合功能，提供主备链路和双活链路可选，满足网络故障切换和负载均衡能力；</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支持网络监控与分析功能，可以对指定网络进行流量、协议及端口监控，支持规则定义、信息过滤等，提供完整流量分析功能；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支持安全组功能，可用于某一特定虚拟机上的网卡（链路实例）的出入流量进行控制，具有默认安全规则以及自定义规则，支持1-4层的安全防护；</w:t>
            </w:r>
          </w:p>
          <w:p>
            <w:pPr>
              <w:jc w:val="left"/>
              <w:rPr>
                <w:rFonts w:ascii="Calibri" w:hAnsi="Calibri" w:eastAsia="宋体" w:cs="Times New Roman"/>
                <w:b/>
              </w:rPr>
            </w:pPr>
            <w:r>
              <w:rPr>
                <w:rFonts w:ascii="Calibri" w:hAnsi="Calibri" w:eastAsia="宋体" w:cs="Times New Roman"/>
                <w:b/>
              </w:rPr>
              <w:t>容灾备份要求</w:t>
            </w:r>
            <w:r>
              <w:rPr>
                <w:rFonts w:hint="eastAsia" w:ascii="Calibri" w:hAnsi="Calibri" w:eastAsia="宋体" w:cs="Times New Roman"/>
                <w:b/>
              </w:rPr>
              <w:t>：</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无需安装第三方备份软件，超融合平台可以实现对虚拟机和存储卷的备份功能，虚拟机和存储卷数量无限制；</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支持自定义备份周期，可以手动设置按小时、天、周进行备份；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支持采用全量备份或增量备份的方式，可以节省更多的存储空间；</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CDP软件功能模块采用无代理方式进行备份，不借助第三方备份软件实现对业务虚拟机的备份；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CDP软件功能模块支持在线开启和关闭，可以对正在运行的业务虚拟机进行在线配置此功能；</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可以实现与VMware vSphere环境双向异步容灾，超融合平台虚拟机可以容灾到VMware环境，同时VMware环境虚拟机也可以容灾到超融合平台；</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支持延伸集群功能，实现跨区域的双活容灾功能，两个集群互为双活，数据实时同步，当发生站点故障时可以实现业务的快速切换，实现数据零丢失，业务实现分钟级恢复；</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支持业务虚拟机级容灾配置，提供图形化RPO范围配置，支持1秒到1周；</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支持安全设备虚拟化功能服务，无需额外增加或替换软件/硬件前提下，通过License激活的方式，实现安全虚拟化功能，如虚拟防火墙、虚拟负载均衡，虚拟安全基线管理系统，日志分析与审计系统等；</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支持无需配置额外的网络硬件设备，安全网元即可和现有的网络连接；</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为适应未来的I</w:t>
            </w:r>
            <w:r>
              <w:rPr>
                <w:rFonts w:ascii="Calibri" w:hAnsi="Calibri" w:eastAsia="宋体" w:cs="Times New Roman"/>
              </w:rPr>
              <w:t>Pv6网络环境</w:t>
            </w:r>
            <w:r>
              <w:rPr>
                <w:rFonts w:hint="eastAsia" w:ascii="Calibri" w:hAnsi="Calibri" w:eastAsia="宋体" w:cs="Times New Roman"/>
              </w:rPr>
              <w:t>，</w:t>
            </w:r>
            <w:r>
              <w:rPr>
                <w:rFonts w:ascii="Calibri" w:hAnsi="Calibri" w:eastAsia="宋体" w:cs="Times New Roman"/>
              </w:rPr>
              <w:t>投标产品必须支持</w:t>
            </w:r>
            <w:r>
              <w:rPr>
                <w:rFonts w:hint="eastAsia" w:ascii="Calibri" w:hAnsi="Calibri" w:eastAsia="宋体" w:cs="Times New Roman"/>
              </w:rPr>
              <w:t>I</w:t>
            </w:r>
            <w:r>
              <w:rPr>
                <w:rFonts w:ascii="Calibri" w:hAnsi="Calibri" w:eastAsia="宋体" w:cs="Times New Roman"/>
              </w:rPr>
              <w:t>Pv6网络环境</w:t>
            </w:r>
            <w:r>
              <w:rPr>
                <w:rFonts w:hint="eastAsia" w:ascii="Calibri" w:hAnsi="Calibri" w:eastAsia="宋体" w:cs="Times New Roman"/>
              </w:rPr>
              <w:t>，</w:t>
            </w:r>
            <w:r>
              <w:rPr>
                <w:rFonts w:ascii="Calibri" w:hAnsi="Calibri" w:eastAsia="宋体" w:cs="Times New Roman"/>
              </w:rPr>
              <w:t>拥有</w:t>
            </w:r>
            <w:r>
              <w:rPr>
                <w:rFonts w:hint="eastAsia" w:ascii="Calibri" w:hAnsi="Calibri" w:eastAsia="宋体" w:cs="Times New Roman"/>
              </w:rPr>
              <w:t>全球IPv6 Ready Logo委员会颁发的IPv6 Ready Logo认证，（需提供证书复印件，并加盖公章）；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超融合产品拥有数据中心联盟颁发的超融合架构可信认证证书（需提供证书复印件，并加盖公章）；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超融合产品拥有国家版权局颁发的计算机软件著作权登记证书（需提供证书复印件，并加盖公章）；</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超融合产品具备中华人民共和国公安部颁发的计算机信息系统安全专用产品销售许可证，要求在计算机信息系统安全专用产品销售许可平台可查，并提供网站截图及</w:t>
            </w:r>
          </w:p>
          <w:p>
            <w:pPr>
              <w:numPr>
                <w:ilvl w:val="0"/>
                <w:numId w:val="5"/>
              </w:numPr>
              <w:spacing w:line="360" w:lineRule="auto"/>
              <w:jc w:val="left"/>
              <w:rPr>
                <w:rFonts w:ascii="Calibri" w:hAnsi="Calibri" w:eastAsia="宋体" w:cs="Times New Roman"/>
              </w:rPr>
            </w:pPr>
            <w:r>
              <w:rPr>
                <w:rFonts w:hint="eastAsia" w:ascii="Calibri" w:hAnsi="Calibri" w:eastAsia="宋体" w:cs="Times New Roman"/>
              </w:rPr>
              <w:t>证书附件并加盖公章。</w:t>
            </w:r>
          </w:p>
        </w:tc>
      </w:tr>
    </w:tbl>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jc w:val="center"/>
        </w:trPr>
        <w:tc>
          <w:tcPr>
            <w:tcW w:w="814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三、</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67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bookmarkStart w:id="8" w:name="_Toc47452215"/>
            <w:r>
              <w:rPr>
                <w:rFonts w:hint="eastAsia" w:ascii="宋体" w:hAnsi="宋体" w:eastAsia="宋体" w:cs="宋体"/>
                <w:bCs/>
                <w:szCs w:val="21"/>
              </w:rPr>
              <w:t>竞标报价为全包价，以人民币为结算单位，包括本项目所有系统开发、</w:t>
            </w:r>
            <w:r>
              <w:rPr>
                <w:rFonts w:hint="eastAsia" w:ascii="Calibri" w:hAnsi="宋体" w:eastAsia="宋体" w:cs="Courier New"/>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0"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676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676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 xml:space="preserve">1.交付时间： </w:t>
            </w:r>
            <w:bookmarkStart w:id="9" w:name="_Toc47452216"/>
            <w:r>
              <w:rPr>
                <w:rFonts w:hint="eastAsia" w:ascii="宋体" w:hAnsi="宋体" w:eastAsia="宋体" w:cs="Times New Roman"/>
                <w:color w:val="000000"/>
                <w:szCs w:val="21"/>
              </w:rPr>
              <w:t>合同签订之日起</w:t>
            </w:r>
            <w:r>
              <w:rPr>
                <w:rFonts w:ascii="Calibri" w:hAnsi="Calibri" w:eastAsia="宋体" w:cs="Times New Roman"/>
                <w:szCs w:val="24"/>
              </w:rPr>
              <w:t>60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bookmarkEnd w:id="9"/>
          </w:p>
          <w:p>
            <w:pPr>
              <w:snapToGrid w:val="0"/>
              <w:spacing w:line="320" w:lineRule="atLeast"/>
              <w:ind w:left="105" w:hanging="105" w:hangingChars="50"/>
              <w:outlineLvl w:val="0"/>
              <w:rPr>
                <w:rFonts w:ascii="宋体" w:hAnsi="宋体" w:eastAsia="宋体" w:cs="Courier New"/>
                <w:color w:val="000000"/>
                <w:szCs w:val="21"/>
              </w:rPr>
            </w:pPr>
            <w:bookmarkStart w:id="10" w:name="_Toc47452217"/>
            <w:r>
              <w:rPr>
                <w:rFonts w:hint="eastAsia" w:ascii="宋体" w:hAnsi="宋体" w:eastAsia="宋体" w:cs="Courier New"/>
                <w:color w:val="000000"/>
                <w:szCs w:val="21"/>
              </w:rPr>
              <w:t>2.交货地点：广西壮族自治区南宁市，采购人指定地点。</w:t>
            </w:r>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67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开发。如系统设计存在重大缺陷，导致无法运行或效率低下，须对系统进行结构性调整开发至满足使用要求；质保期未完成修改、完善和升级开发的，质保期相应顺延。</w:t>
            </w:r>
          </w:p>
          <w:p>
            <w:pPr>
              <w:spacing w:line="400" w:lineRule="exact"/>
              <w:ind w:firstLine="33" w:firstLineChars="16"/>
              <w:rPr>
                <w:rFonts w:ascii="宋体" w:hAnsi="宋体" w:eastAsia="宋体" w:cs="宋体"/>
                <w:bCs/>
                <w:szCs w:val="21"/>
              </w:rPr>
            </w:pPr>
            <w:r>
              <w:rPr>
                <w:rFonts w:hint="eastAsia" w:ascii="宋体" w:hAnsi="宋体" w:eastAsia="宋体" w:cs="宋体"/>
                <w:bCs/>
                <w:szCs w:val="21"/>
              </w:rPr>
              <w:t>2.提供开发程序的所有源代码（包括注释和说明），并在质保期内免费提供软件系统功能模块增加、修改、升级等服务，同时数据接口须在质保期内免费提供升级。</w:t>
            </w:r>
          </w:p>
          <w:p>
            <w:pPr>
              <w:spacing w:line="400" w:lineRule="exact"/>
              <w:ind w:firstLine="33" w:firstLineChars="16"/>
              <w:rPr>
                <w:rFonts w:ascii="宋体" w:hAnsi="宋体" w:eastAsia="宋体" w:cs="Times New Roman"/>
              </w:rPr>
            </w:pPr>
            <w:r>
              <w:rPr>
                <w:rFonts w:hint="eastAsia" w:ascii="宋体" w:hAnsi="宋体" w:eastAsia="宋体" w:cs="宋体"/>
                <w:bCs/>
                <w:szCs w:val="21"/>
              </w:rPr>
              <w:t>3.</w:t>
            </w:r>
            <w:r>
              <w:rPr>
                <w:rFonts w:ascii="Calibri" w:hAnsi="Calibri" w:eastAsia="宋体" w:cs="Times New Roman"/>
                <w:b/>
                <w:bCs/>
                <w:sz w:val="24"/>
              </w:rPr>
              <w:t xml:space="preserve"> </w:t>
            </w:r>
            <w:r>
              <w:rPr>
                <w:rFonts w:hint="eastAsia" w:ascii="宋体" w:hAnsi="宋体" w:eastAsia="宋体" w:cs="Times New Roman"/>
              </w:rPr>
              <w:t>免费维护和技术支持的范围为：</w:t>
            </w:r>
          </w:p>
          <w:p>
            <w:pPr>
              <w:spacing w:line="40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40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40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spacing w:line="400" w:lineRule="exact"/>
              <w:ind w:firstLine="33" w:firstLineChars="16"/>
              <w:rPr>
                <w:rFonts w:ascii="Calibri" w:hAnsi="Calibri" w:eastAsia="宋体" w:cs="宋体"/>
                <w:bCs/>
                <w:szCs w:val="21"/>
              </w:rPr>
            </w:pPr>
            <w:r>
              <w:rPr>
                <w:rFonts w:hint="eastAsia" w:ascii="宋体" w:hAnsi="宋体" w:eastAsia="宋体" w:cs="宋体"/>
                <w:bCs/>
                <w:szCs w:val="21"/>
              </w:rPr>
              <w:t>4.故障响应时间：</w:t>
            </w:r>
            <w:r>
              <w:rPr>
                <w:rFonts w:hint="eastAsia" w:ascii="宋体" w:hAnsi="宋体" w:eastAsia="宋体" w:cs="Times New Roman"/>
              </w:rPr>
              <w:t>提供7*24小时的实时故障响应。因系统技术问题出现重大运行故障，导致系统无法正常运行，且现场人员不能解决时，供应商应在2小时内必须给予响应，指派1名以上技术人员赶赴现场，及时组织有关技术专家进行会诊，并在8小时内模块采取相应措施恢复运行。如果供应商在接到通知后的两个工作日内未作出响应，供应商必须对由于故障所造成的损失后果负责，根据后果严重程度，采购人有权扣除供应商的保证金或让供应商承担所有损失。供应商应提供24小时咨询电话。</w:t>
            </w:r>
          </w:p>
          <w:p>
            <w:pPr>
              <w:spacing w:line="400" w:lineRule="exact"/>
              <w:ind w:firstLine="33" w:firstLineChars="16"/>
              <w:rPr>
                <w:rFonts w:ascii="宋体" w:hAnsi="宋体" w:eastAsia="宋体" w:cs="宋体"/>
                <w:bCs/>
                <w:szCs w:val="21"/>
              </w:rPr>
            </w:pPr>
            <w:r>
              <w:rPr>
                <w:rFonts w:hint="eastAsia" w:ascii="宋体" w:hAnsi="宋体" w:eastAsia="宋体" w:cs="Times New Roman"/>
                <w:szCs w:val="21"/>
              </w:rPr>
              <w:t>5.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6764" w:type="dxa"/>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，达到国家行业现行验收标准。</w:t>
            </w:r>
          </w:p>
          <w:p>
            <w:pPr>
              <w:spacing w:line="320" w:lineRule="exact"/>
              <w:rPr>
                <w:rFonts w:ascii="Calibri" w:hAnsi="Calibri" w:eastAsia="宋体" w:cs="Times New Roman"/>
                <w:szCs w:val="24"/>
              </w:rPr>
            </w:pPr>
            <w:r>
              <w:rPr>
                <w:rFonts w:hint="eastAsia" w:ascii="宋体" w:hAnsi="宋体" w:eastAsia="宋体" w:cs="Times New Roman"/>
                <w:color w:val="000000"/>
                <w:szCs w:val="21"/>
              </w:rPr>
              <w:t>2.验收内容包括运行的系统平台和相关技术文档，文档资料必须同时交付电子版和纸质版，所有内容应与系统相一致，技术文档应该全面、完整、详细、清晰，并应满足供应商对系统的安装、使用、维护、应用开发的需要，包括但不限于：《系统/子系统设计说明书》、《系统测试方案》、《系统测试报告》、《系统用户手册》、《系统培训方案》、《项目总结报告》等。</w:t>
            </w:r>
          </w:p>
          <w:p>
            <w:pPr>
              <w:spacing w:line="320" w:lineRule="exact"/>
              <w:rPr>
                <w:rFonts w:ascii="宋体" w:hAnsi="宋体" w:eastAsia="宋体" w:cs="Times New Roman"/>
                <w:color w:val="000000"/>
                <w:szCs w:val="21"/>
              </w:rPr>
            </w:pPr>
            <w:r>
              <w:rPr>
                <w:rFonts w:ascii="Calibri" w:hAnsi="Calibri" w:eastAsia="宋体" w:cs="Times New Roman"/>
                <w:szCs w:val="24"/>
              </w:rPr>
              <w:t>3.</w:t>
            </w:r>
            <w:r>
              <w:rPr>
                <w:rFonts w:hint="eastAsia" w:ascii="Calibri" w:hAnsi="Calibri" w:eastAsia="宋体" w:cs="Times New Roman"/>
                <w:szCs w:val="24"/>
              </w:rPr>
              <w:t>验收过程中所产生的一切费用均由成交供应商承担。报价时应考虑相关费用。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676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rPr>
            </w:pPr>
            <w:r>
              <w:rPr>
                <w:rFonts w:hint="eastAsia" w:ascii="宋体" w:hAnsi="宋体" w:eastAsia="宋体" w:cs="Times New Roman"/>
              </w:rPr>
              <w:t>1.合同签订之前，供应商按合同金额的5%向采购人交纳履约保证金，履约保证金在质量保证期过后退付。供应商若不能完全履行合同，履约保证金不返还；成交供应商若完全履行合同，采购人凭成交人申请书和履约保证金汇款（转账）单（原件）在30个工作日内一次性无息返还给成交供应商。（履约保证金不计利息）。</w:t>
            </w:r>
          </w:p>
          <w:p>
            <w:pPr>
              <w:spacing w:line="320" w:lineRule="exact"/>
              <w:jc w:val="left"/>
              <w:rPr>
                <w:rFonts w:ascii="Calibri" w:hAnsi="Calibri" w:eastAsia="宋体" w:cs="Times New Roman"/>
                <w:color w:val="000000"/>
                <w:szCs w:val="24"/>
              </w:rPr>
            </w:pPr>
            <w:r>
              <w:rPr>
                <w:rFonts w:hint="eastAsia" w:ascii="宋体" w:hAnsi="宋体" w:eastAsia="宋体" w:cs="Times New Roman"/>
              </w:rPr>
              <w:t>2.合同签订后10个工作日内采购人向成交供应商预付合同金额的50%作为前期开发经费同时成交供应商向采购人开具等额发票，软件安装调试正常运行及服务总量完成5个工作日后，最终验收合格无异议后30个工作日内向成交供应商支付剩余合同金额同时成交供应商向采购人开具等额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676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jc w:val="center"/>
        </w:trPr>
        <w:tc>
          <w:tcPr>
            <w:tcW w:w="8144"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四、其他要求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技术方案</w:t>
            </w:r>
          </w:p>
        </w:tc>
        <w:tc>
          <w:tcPr>
            <w:tcW w:w="6764" w:type="dxa"/>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供应商可结合本章要求及第四章“</w:t>
            </w:r>
            <w:r>
              <w:rPr>
                <w:rFonts w:hint="eastAsia" w:ascii="Calibri" w:hAnsi="Calibri" w:eastAsia="宋体" w:cs="Times New Roman"/>
                <w:szCs w:val="24"/>
              </w:rPr>
              <w:t>评审程序、评审方法和评审标准</w:t>
            </w:r>
            <w:r>
              <w:rPr>
                <w:rFonts w:hint="eastAsia" w:ascii="宋体" w:hAnsi="宋体" w:eastAsia="宋体" w:cs="宋体"/>
                <w:color w:val="000000"/>
                <w:szCs w:val="21"/>
              </w:rPr>
              <w:t>”自行编制，包括但不限于</w:t>
            </w:r>
            <w:r>
              <w:rPr>
                <w:rFonts w:hint="eastAsia" w:ascii="宋体" w:hAnsi="宋体" w:eastAsia="宋体" w:cs="Arial"/>
                <w:szCs w:val="21"/>
              </w:rPr>
              <w:t>服务内容方案、</w:t>
            </w:r>
            <w:r>
              <w:rPr>
                <w:rFonts w:hint="eastAsia" w:ascii="宋体" w:hAnsi="宋体" w:eastAsia="宋体" w:cs="Times New Roman"/>
                <w:bCs/>
                <w:color w:val="000000"/>
                <w:kern w:val="0"/>
                <w:szCs w:val="21"/>
              </w:rPr>
              <w:t>工作重点、难点及解决方案、</w:t>
            </w:r>
            <w:r>
              <w:rPr>
                <w:rFonts w:hint="eastAsia" w:ascii="宋体" w:hAnsi="宋体" w:eastAsia="宋体" w:cs="Times New Roman"/>
                <w:bCs/>
                <w:color w:val="000000"/>
                <w:szCs w:val="21"/>
              </w:rPr>
              <w:t>服务人员配备及培训方案</w:t>
            </w:r>
            <w:r>
              <w:rPr>
                <w:rFonts w:hint="eastAsia" w:ascii="宋体" w:hAnsi="宋体" w:eastAsia="宋体" w:cs="宋体"/>
                <w:color w:val="000000"/>
                <w:szCs w:val="21"/>
              </w:rPr>
              <w:t>。</w:t>
            </w:r>
          </w:p>
        </w:tc>
      </w:tr>
    </w:tbl>
    <w:p>
      <w:pPr>
        <w:keepNext/>
        <w:keepLines/>
        <w:spacing w:line="320" w:lineRule="exact"/>
        <w:ind w:firstLine="422" w:firstLineChars="200"/>
        <w:outlineLvl w:val="1"/>
        <w:rPr>
          <w:rFonts w:ascii="宋体" w:hAnsi="宋体" w:eastAsia="宋体" w:cs="宋体"/>
          <w:b/>
          <w:color w:val="000000"/>
          <w:szCs w:val="21"/>
          <w:lang w:val="zh-CN" w:eastAsia="zh-CN"/>
        </w:rPr>
      </w:pPr>
      <w:bookmarkStart w:id="11" w:name="_Toc28359013"/>
      <w:bookmarkStart w:id="12" w:name="_Toc35393799"/>
      <w:bookmarkStart w:id="13" w:name="_Toc28359090"/>
      <w:bookmarkStart w:id="14" w:name="_Toc35393630"/>
      <w:bookmarkStart w:id="15" w:name="_Toc44229879"/>
      <w:bookmarkStart w:id="16" w:name="_Toc47452206"/>
      <w:r>
        <w:rPr>
          <w:rFonts w:hint="eastAsia" w:ascii="宋体" w:hAnsi="宋体" w:eastAsia="宋体" w:cs="宋体"/>
          <w:b/>
          <w:color w:val="000000"/>
          <w:szCs w:val="21"/>
          <w:lang w:val="zh-CN" w:eastAsia="zh-CN"/>
        </w:rPr>
        <w:t>二、供应商的资格条件：</w:t>
      </w:r>
      <w:bookmarkEnd w:id="11"/>
      <w:bookmarkEnd w:id="12"/>
      <w:bookmarkEnd w:id="13"/>
      <w:bookmarkEnd w:id="14"/>
      <w:bookmarkEnd w:id="15"/>
      <w:bookmarkEnd w:id="16"/>
    </w:p>
    <w:p>
      <w:pPr>
        <w:spacing w:line="320" w:lineRule="exact"/>
        <w:ind w:firstLine="420" w:firstLineChars="200"/>
        <w:rPr>
          <w:rFonts w:ascii="宋体" w:hAnsi="宋体" w:eastAsia="宋体" w:cs="Times New Roman"/>
          <w:color w:val="000000"/>
          <w:szCs w:val="21"/>
          <w:u w:val="single"/>
        </w:rPr>
      </w:pPr>
      <w:bookmarkStart w:id="17" w:name="_Toc28359091"/>
      <w:bookmarkStart w:id="18" w:name="_Toc28359014"/>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22条之规定；遵守《中华人民共和国招投标法》、《中华人民共和国政府采购法》、《中华人民共和国民法典》等相关法律法规；国内注册，具有法人资格，具备相关项目经营范围的单位。</w:t>
      </w:r>
    </w:p>
    <w:p>
      <w:pPr>
        <w:keepNext/>
        <w:keepLines/>
        <w:spacing w:line="320" w:lineRule="exact"/>
        <w:ind w:firstLine="422" w:firstLineChars="200"/>
        <w:outlineLvl w:val="1"/>
        <w:rPr>
          <w:rFonts w:ascii="宋体" w:hAnsi="宋体" w:eastAsia="宋体" w:cs="宋体"/>
          <w:b/>
          <w:color w:val="000000"/>
          <w:szCs w:val="21"/>
          <w:lang w:val="zh-CN" w:eastAsia="zh-CN"/>
        </w:rPr>
      </w:pPr>
      <w:bookmarkStart w:id="19" w:name="_Toc44229880"/>
      <w:bookmarkStart w:id="20" w:name="_Toc35393631"/>
      <w:bookmarkStart w:id="21" w:name="_Toc35393800"/>
      <w:bookmarkStart w:id="22" w:name="_Toc47452207"/>
      <w:r>
        <w:rPr>
          <w:rFonts w:hint="eastAsia" w:ascii="宋体" w:hAnsi="宋体" w:eastAsia="宋体" w:cs="宋体"/>
          <w:b/>
          <w:color w:val="000000"/>
          <w:szCs w:val="21"/>
          <w:lang w:val="zh-CN" w:eastAsia="zh-CN"/>
        </w:rPr>
        <w:t>三、获取竞争性磋商文件</w:t>
      </w:r>
      <w:bookmarkEnd w:id="17"/>
      <w:bookmarkEnd w:id="18"/>
      <w:bookmarkEnd w:id="19"/>
      <w:bookmarkEnd w:id="20"/>
      <w:bookmarkEnd w:id="21"/>
      <w:bookmarkEnd w:id="22"/>
    </w:p>
    <w:p>
      <w:pPr>
        <w:snapToGrid w:val="0"/>
        <w:spacing w:line="380" w:lineRule="exact"/>
        <w:ind w:firstLine="472" w:firstLineChars="225"/>
        <w:rPr>
          <w:rFonts w:ascii="宋体" w:hAnsi="宋体" w:eastAsia="宋体" w:cs="Arial"/>
          <w:szCs w:val="21"/>
        </w:rPr>
      </w:pPr>
      <w:r>
        <w:rPr>
          <w:rFonts w:hint="eastAsia" w:ascii="宋体" w:hAnsi="宋体" w:eastAsia="宋体" w:cs="Arial"/>
          <w:szCs w:val="21"/>
        </w:rPr>
        <w:t>1.获取时间：自本公告发布之时起至</w:t>
      </w:r>
      <w:r>
        <w:rPr>
          <w:rFonts w:hint="eastAsia" w:ascii="宋体" w:hAnsi="宋体" w:eastAsia="宋体" w:cs="Arial"/>
          <w:szCs w:val="21"/>
          <w:u w:val="single"/>
        </w:rPr>
        <w:t>202</w:t>
      </w:r>
      <w:r>
        <w:rPr>
          <w:rFonts w:ascii="宋体" w:hAnsi="宋体" w:eastAsia="宋体" w:cs="Arial"/>
          <w:szCs w:val="21"/>
          <w:u w:val="single"/>
        </w:rPr>
        <w:t>1</w:t>
      </w:r>
      <w:r>
        <w:rPr>
          <w:rFonts w:hint="eastAsia" w:ascii="宋体" w:hAnsi="宋体" w:eastAsia="宋体" w:cs="Arial"/>
          <w:szCs w:val="21"/>
        </w:rPr>
        <w:t>年</w:t>
      </w:r>
      <w:r>
        <w:rPr>
          <w:rFonts w:ascii="宋体" w:hAnsi="宋体" w:eastAsia="宋体" w:cs="Arial"/>
          <w:szCs w:val="21"/>
          <w:u w:val="single"/>
        </w:rPr>
        <w:t>6</w:t>
      </w:r>
      <w:r>
        <w:rPr>
          <w:rFonts w:hint="eastAsia" w:ascii="宋体" w:hAnsi="宋体" w:eastAsia="宋体" w:cs="Arial"/>
          <w:szCs w:val="21"/>
        </w:rPr>
        <w:t>月</w:t>
      </w:r>
      <w:r>
        <w:rPr>
          <w:rFonts w:hint="eastAsia" w:ascii="宋体" w:hAnsi="宋体" w:eastAsia="宋体" w:cs="Arial"/>
          <w:szCs w:val="21"/>
          <w:u w:val="single"/>
        </w:rPr>
        <w:t xml:space="preserve"> </w:t>
      </w:r>
      <w:r>
        <w:rPr>
          <w:rFonts w:ascii="宋体" w:hAnsi="宋体" w:eastAsia="宋体" w:cs="Arial"/>
          <w:szCs w:val="21"/>
          <w:u w:val="single"/>
        </w:rPr>
        <w:t xml:space="preserve">  </w:t>
      </w:r>
      <w:r>
        <w:rPr>
          <w:rFonts w:hint="eastAsia" w:ascii="宋体" w:hAnsi="宋体" w:eastAsia="宋体" w:cs="Arial"/>
          <w:szCs w:val="21"/>
        </w:rPr>
        <w:t>日18时00分。</w:t>
      </w:r>
    </w:p>
    <w:p>
      <w:pPr>
        <w:spacing w:line="360" w:lineRule="atLeast"/>
        <w:ind w:firstLine="495"/>
        <w:rPr>
          <w:rFonts w:ascii="Calibri" w:hAnsi="Calibri" w:eastAsia="宋体" w:cs="Times New Roman"/>
          <w:szCs w:val="24"/>
        </w:rPr>
      </w:pPr>
      <w:r>
        <w:rPr>
          <w:rFonts w:hint="eastAsia" w:ascii="宋体" w:hAnsi="宋体" w:eastAsia="宋体" w:cs="Arial"/>
          <w:szCs w:val="21"/>
        </w:rPr>
        <w:t>2.获取方式：</w:t>
      </w:r>
      <w:r>
        <w:rPr>
          <w:rFonts w:hint="eastAsia" w:ascii="Calibri" w:hAnsi="Calibri" w:eastAsia="宋体" w:cs="Times New Roman"/>
          <w:szCs w:val="24"/>
        </w:rPr>
        <w:t>在广西骨伤医院官方网站本项目公告的附件处下载。</w:t>
      </w:r>
    </w:p>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jc w:val="center"/>
        <w:rPr>
          <w:rFonts w:ascii="方正小标宋简体" w:eastAsia="方正小标宋简体"/>
          <w:sz w:val="44"/>
          <w:szCs w:val="44"/>
        </w:rPr>
      </w:pPr>
      <w:r>
        <w:rPr>
          <w:rFonts w:hint="eastAsia" w:ascii="方正小标宋简体" w:eastAsia="方正小标宋简体"/>
          <w:sz w:val="44"/>
          <w:szCs w:val="44"/>
        </w:rPr>
        <w:t>数据中心灾备项目评标方案</w:t>
      </w:r>
    </w:p>
    <w:p>
      <w:pPr>
        <w:spacing w:line="500" w:lineRule="exact"/>
        <w:jc w:val="center"/>
        <w:rPr>
          <w:rFonts w:ascii="方正小标宋简体" w:eastAsia="方正小标宋简体"/>
          <w:sz w:val="44"/>
          <w:szCs w:val="44"/>
        </w:rPr>
      </w:pP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一、评审程序和评审方法</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（一）磋商小组成立</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磋商小组由</w:t>
      </w:r>
      <w:r>
        <w:rPr>
          <w:rFonts w:hint="eastAsia" w:ascii="仿宋_GB2312" w:eastAsia="仿宋_GB2312"/>
          <w:sz w:val="28"/>
          <w:szCs w:val="28"/>
        </w:rPr>
        <w:t>信息网络中心负责成立由信息网络中心、财务科、资产管理科等科室人员组成</w:t>
      </w:r>
      <w:r>
        <w:rPr>
          <w:rFonts w:ascii="仿宋_GB2312" w:eastAsia="仿宋_GB2312"/>
          <w:sz w:val="28"/>
          <w:szCs w:val="28"/>
        </w:rPr>
        <w:t>共3人以上单数组成，</w:t>
      </w:r>
      <w:r>
        <w:rPr>
          <w:rFonts w:hint="eastAsia" w:ascii="仿宋_GB2312" w:eastAsia="仿宋_GB2312"/>
          <w:sz w:val="28"/>
          <w:szCs w:val="28"/>
        </w:rPr>
        <w:t>审计科、纪检监察室人员为监督人员</w:t>
      </w:r>
      <w:r>
        <w:rPr>
          <w:rFonts w:ascii="仿宋_GB2312" w:eastAsia="仿宋_GB2312"/>
          <w:sz w:val="28"/>
          <w:szCs w:val="28"/>
        </w:rPr>
        <w:t>。</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（二）响应文件评审程序</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1.资格审查</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 xml:space="preserve">响应文件开启后，磋商小组依法对供应商的资格证明文件进行审查。 </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资格审查标准为本竞争性磋商文件中载明对供应商资格要求的条件。资格审查采用合格制，凡符合竞争性磋商文件规定的供应商资格要求的响应文件均通过资格审查。</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供应商有下列情形之一的，资格审查不通过，其响应文件按无效响应处理：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①</w:t>
      </w:r>
      <w:r>
        <w:rPr>
          <w:rFonts w:ascii="仿宋_GB2312" w:eastAsia="仿宋_GB2312"/>
          <w:sz w:val="28"/>
          <w:szCs w:val="28"/>
        </w:rPr>
        <w:t>不具备竞争性磋商文件中规定的资格要求的；（注：其中信用查询规则见“</w:t>
      </w:r>
      <w:r>
        <w:rPr>
          <w:rFonts w:hint="eastAsia" w:ascii="仿宋_GB2312" w:eastAsia="仿宋_GB2312"/>
          <w:sz w:val="28"/>
          <w:szCs w:val="28"/>
        </w:rPr>
        <w:t>参会供应商报名表</w:t>
      </w:r>
      <w:r>
        <w:rPr>
          <w:rFonts w:ascii="仿宋_GB2312" w:eastAsia="仿宋_GB2312"/>
          <w:sz w:val="28"/>
          <w:szCs w:val="28"/>
        </w:rPr>
        <w:t>”）</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②</w:t>
      </w:r>
      <w:r>
        <w:rPr>
          <w:rFonts w:ascii="仿宋_GB2312" w:eastAsia="仿宋_GB2312"/>
          <w:sz w:val="28"/>
          <w:szCs w:val="28"/>
        </w:rPr>
        <w:t>响应文件未提供任一项“</w:t>
      </w:r>
      <w:r>
        <w:rPr>
          <w:rFonts w:hint="eastAsia" w:ascii="仿宋_GB2312" w:eastAsia="仿宋_GB2312"/>
          <w:sz w:val="28"/>
          <w:szCs w:val="28"/>
        </w:rPr>
        <w:t>参会供应商报名表</w:t>
      </w:r>
      <w:r>
        <w:rPr>
          <w:rFonts w:ascii="仿宋_GB2312" w:eastAsia="仿宋_GB2312"/>
          <w:sz w:val="28"/>
          <w:szCs w:val="28"/>
        </w:rPr>
        <w:t>”规定的“必须提供”的文件资料的；</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③</w:t>
      </w:r>
      <w:r>
        <w:rPr>
          <w:rFonts w:ascii="仿宋_GB2312" w:eastAsia="仿宋_GB2312"/>
          <w:sz w:val="28"/>
          <w:szCs w:val="28"/>
        </w:rPr>
        <w:t>响应文件提供的资格证明文件出现任一项不符合“</w:t>
      </w:r>
      <w:r>
        <w:rPr>
          <w:rFonts w:hint="eastAsia" w:ascii="仿宋_GB2312" w:eastAsia="仿宋_GB2312"/>
          <w:sz w:val="28"/>
          <w:szCs w:val="28"/>
        </w:rPr>
        <w:t>参会供应商报名表</w:t>
      </w:r>
      <w:r>
        <w:rPr>
          <w:rFonts w:ascii="仿宋_GB2312" w:eastAsia="仿宋_GB2312"/>
          <w:sz w:val="28"/>
          <w:szCs w:val="28"/>
        </w:rPr>
        <w:t>”规定的“必须提供”的文件资料要求或者无效的。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2.符合性审查</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由磋商小组对通过资格审查的合格供应商的响应文件的竞标报价、商务、技术等实质性要求进行符合性审查，以确定其是否满足竞争性磋商文件的实质性要求。</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供应商为自然人的，应当由本人签字并附身份证明。</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 xml:space="preserve">首次响应文件报价出现前后不一致的，按照下列规定修正： </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①</w:t>
      </w:r>
      <w:r>
        <w:rPr>
          <w:rFonts w:ascii="仿宋_GB2312" w:eastAsia="仿宋_GB2312"/>
          <w:sz w:val="28"/>
          <w:szCs w:val="28"/>
        </w:rPr>
        <w:t>响应文件中报价表内容与响应文件中相应内容不一致的，以报价表为准；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②</w:t>
      </w:r>
      <w:r>
        <w:rPr>
          <w:rFonts w:ascii="仿宋_GB2312" w:eastAsia="仿宋_GB2312"/>
          <w:sz w:val="28"/>
          <w:szCs w:val="28"/>
        </w:rPr>
        <w:t>大写金额和小写金额不一致的，以大写金额为准；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③</w:t>
      </w:r>
      <w:r>
        <w:rPr>
          <w:rFonts w:ascii="仿宋_GB2312" w:eastAsia="仿宋_GB2312"/>
          <w:sz w:val="28"/>
          <w:szCs w:val="28"/>
        </w:rPr>
        <w:t>单价金额小数点或者百分比有明显错位的，以报价表的总价为准，并修改单价；</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④</w:t>
      </w:r>
      <w:r>
        <w:rPr>
          <w:rFonts w:ascii="仿宋_GB2312" w:eastAsia="仿宋_GB2312"/>
          <w:sz w:val="28"/>
          <w:szCs w:val="28"/>
        </w:rPr>
        <w:t>总价金额与按单价汇总金额不一致的，以单价金额计算结果为准。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同时出现两种以上不一致的，按照以上①</w:t>
      </w:r>
      <w:r>
        <w:rPr>
          <w:rFonts w:ascii="仿宋_GB2312" w:eastAsia="仿宋_GB2312"/>
          <w:sz w:val="28"/>
          <w:szCs w:val="28"/>
        </w:rPr>
        <w:t>-</w:t>
      </w:r>
      <w:r>
        <w:rPr>
          <w:rFonts w:hint="eastAsia" w:ascii="仿宋_GB2312" w:eastAsia="仿宋_GB2312"/>
          <w:sz w:val="28"/>
          <w:szCs w:val="28"/>
        </w:rPr>
        <w:t>④</w:t>
      </w:r>
      <w:r>
        <w:rPr>
          <w:rFonts w:ascii="仿宋_GB2312" w:eastAsia="仿宋_GB2312"/>
          <w:sz w:val="28"/>
          <w:szCs w:val="28"/>
        </w:rPr>
        <w:t>规定的顺序逐条进行修正。修正后的报价经供应商确认后产生约束力，供应商不确认的，其响应文件按无效响应处理。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3.商务技术报价评审</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在评审时，如发现下列情形之一的，将被视为响应文件无效处理：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1）商务技术评审</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1）提供响应文件正、副本数量不足的；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2）响应文件未按竞争性磋商文件要求签署、盖章的；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 xml:space="preserve">3）委托代理人未能出具有效身份证明或出具的身份证明与授权委托书中的信息不符的； </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4）响应文件未提供任一项“</w:t>
      </w:r>
      <w:r>
        <w:rPr>
          <w:rFonts w:hint="eastAsia" w:ascii="仿宋_GB2312" w:eastAsia="仿宋_GB2312"/>
          <w:sz w:val="28"/>
          <w:szCs w:val="28"/>
        </w:rPr>
        <w:t>参会供应商报名表</w:t>
      </w:r>
      <w:r>
        <w:rPr>
          <w:rFonts w:ascii="仿宋_GB2312" w:eastAsia="仿宋_GB2312"/>
          <w:sz w:val="28"/>
          <w:szCs w:val="28"/>
        </w:rPr>
        <w:t>”规定的“必须提供”或者“委托时必须提供”的文件资料的。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5）未对竞标有效期作出响应或响应文件承诺的竞标有效期不满足竞争性磋商文件要求的；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6）响应文件的实质性内容未使用中文表述、使用计量单位不符合竞争性磋商文件要求的；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7）响应文件中的文件资料因填写不齐全或者内容虚假或者出现其他情形而导致被磋商小组认定无效的；</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2）报价评审</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 响应文件未提供“</w:t>
      </w:r>
      <w:r>
        <w:rPr>
          <w:rFonts w:hint="eastAsia" w:ascii="仿宋_GB2312" w:eastAsia="仿宋_GB2312"/>
          <w:sz w:val="28"/>
          <w:szCs w:val="28"/>
        </w:rPr>
        <w:t>参会供应商报名表</w:t>
      </w:r>
      <w:r>
        <w:rPr>
          <w:rFonts w:ascii="仿宋_GB2312" w:eastAsia="仿宋_GB2312"/>
          <w:sz w:val="28"/>
          <w:szCs w:val="28"/>
        </w:rPr>
        <w:t>”规定中的“竞标报价表”的；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2）未采用人民币报价或者未按照竞争性磋商文件标明的币种报价的；</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3）供应商未就所竞标分标进行报价或存在漏项报价；供应商未就所竞标分标的单项内容作唯一报价；供应商未就所竞标分标的全部内容作唯一总价报价；供应商响应文件中存在有选择、有条件报价的（竞争性磋商文件允许有备选方案或其他约定的除外）；</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4）竞标报价（包含首次报价、最后报价）超过所竞标分标规定的采购预算金额或者最高限价的（如本项目公布了最高限价）；竞标报价（包含首次报价、最后报价）超过竞争性磋商文件分项采购预算金额或者最高限价的（如本项目公布了最高限价）；</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5）修正后的报价，供应商不确认的；或经供应商确认修正后的竞标报价（包含首次报价、最后报价）超过所竞标分标规定的采购预算金额或者最高限价的（如本项目公布了最高限价）；或经供应商确认修正后竞标报价（包含首次报价、最后报价）超过竞争性磋商文件分项采购预算金额或者最高限价的（如本项目公布了最高限价）。</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（三）磋商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1.磋商小组按照</w:t>
      </w:r>
      <w:r>
        <w:rPr>
          <w:rFonts w:hint="eastAsia" w:ascii="仿宋_GB2312" w:eastAsia="仿宋_GB2312"/>
          <w:sz w:val="28"/>
          <w:szCs w:val="28"/>
        </w:rPr>
        <w:t>签到后抽签</w:t>
      </w:r>
      <w:r>
        <w:rPr>
          <w:rFonts w:ascii="仿宋_GB2312" w:eastAsia="仿宋_GB2312"/>
          <w:sz w:val="28"/>
          <w:szCs w:val="28"/>
        </w:rPr>
        <w:t>确定的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2.在磋商过程中，磋商小组可以根据磋商文件和磋商情况实质性变动采购需求中的技术、服务要求以及合同草案条款，但不得变动磋商文件中的其他内容。</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3. 磋商中，磋商的任何一方不得透露与磋商有关的其他供应商的技术资料、价格和其他信息。</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（四）最后报价</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1.竞争性磋商文件能够详细列明采购标的的技术、服务要求的，磋商结束后，由磋商小组要求所有继续参加磋商的供应商在规定时间内密封提交最后报价，提交最后报价的供应商不得少于3家。</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 最后报价是供应商响应文件的有效组成部分。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3.供应商未在规定时间内提交最后报价的，视同退出磋商。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4.磋商小组收齐某一分标最后报价后统一开启，磋商小组对最后报价进行有效性、完整性和响应程度的审查。</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5.最后报价结束后，磋商小组不得再与供应商进行任何形式的商谈。</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（五）比较与评价</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1.评审方法：综合评分法。</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2.经磋商确定最终采购需求和提交最后报价的供应商后，由磋商小组采用综合评分法对提交最后报价的供应商的响应文件和最后报价进行综合评分。</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3.评审时，磋商小组各成员应当独立对每个有效响应的文件进行评价、打分，然后汇总每个供应商每项评分因素的得分。</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1）磋商小组按照竞争性磋商文件中规定的评审标准计算各供应商的报价得分。项目评审过程中，不得去掉最后报价中的最高报价和最低报价。</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2）各供应商的得分为磋商小组所有成员的有效评分的算术平均数。</w:t>
      </w:r>
    </w:p>
    <w:p>
      <w:pPr>
        <w:spacing w:line="500" w:lineRule="exact"/>
        <w:ind w:firstLine="560" w:firstLineChars="200"/>
        <w:jc w:val="left"/>
        <w:rPr>
          <w:rFonts w:ascii="仿宋_GB2312" w:eastAsia="仿宋_GB2312"/>
          <w:sz w:val="28"/>
          <w:szCs w:val="28"/>
        </w:rPr>
      </w:pPr>
      <w:r>
        <w:rPr>
          <w:rFonts w:ascii="仿宋_GB2312" w:eastAsia="仿宋_GB2312"/>
          <w:sz w:val="28"/>
          <w:szCs w:val="28"/>
        </w:rPr>
        <w:t>4.最终成交供应商的成交金额等于最后报价（如有修正，以确认修正后的最后报价为准）。</w:t>
      </w:r>
    </w:p>
    <w:p>
      <w:pPr>
        <w:spacing w:line="400" w:lineRule="exact"/>
        <w:ind w:firstLine="560" w:firstLineChars="200"/>
        <w:rPr>
          <w:rFonts w:ascii="仿宋_GB2312" w:hAnsi="宋体" w:eastAsia="仿宋_GB2312" w:cs="Times New Roman"/>
          <w:bCs/>
          <w:color w:val="000000"/>
          <w:sz w:val="28"/>
          <w:szCs w:val="28"/>
        </w:rPr>
      </w:pPr>
      <w:r>
        <w:rPr>
          <w:rFonts w:hint="eastAsia" w:ascii="仿宋_GB2312" w:hAnsi="宋体" w:eastAsia="仿宋_GB2312" w:cs="Times New Roman"/>
          <w:bCs/>
          <w:color w:val="000000"/>
          <w:sz w:val="28"/>
          <w:szCs w:val="28"/>
        </w:rPr>
        <w:t>二、评审标准</w:t>
      </w:r>
    </w:p>
    <w:p>
      <w:pPr>
        <w:spacing w:line="400" w:lineRule="exact"/>
        <w:ind w:firstLine="560" w:firstLineChars="200"/>
        <w:rPr>
          <w:rFonts w:ascii="仿宋_GB2312" w:hAnsi="宋体" w:eastAsia="仿宋_GB2312" w:cs="Times New Roman"/>
          <w:bCs/>
          <w:color w:val="000000"/>
          <w:sz w:val="28"/>
          <w:szCs w:val="28"/>
        </w:rPr>
      </w:pPr>
      <w:r>
        <w:rPr>
          <w:rFonts w:hint="eastAsia" w:ascii="仿宋_GB2312" w:hAnsi="宋体" w:eastAsia="仿宋_GB2312" w:cs="Times New Roman"/>
          <w:bCs/>
          <w:color w:val="000000"/>
          <w:sz w:val="28"/>
          <w:szCs w:val="28"/>
        </w:rPr>
        <w:t>评审依据：磋商小组将以磋商响应文件为评审依据，对供应商的报价、技术、商务等方面内容按百分制打分。（计分方法按四舍五入取至百分位）</w:t>
      </w:r>
    </w:p>
    <w:tbl>
      <w:tblPr>
        <w:tblStyle w:val="5"/>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宋体" w:hAnsi="宋体" w:eastAsia="宋体" w:cs="Times New Roman"/>
                <w:color w:val="000000"/>
                <w:szCs w:val="21"/>
              </w:rPr>
            </w:pPr>
            <w:r>
              <w:rPr>
                <w:rFonts w:hint="eastAsia" w:ascii="宋体" w:hAnsi="宋体" w:eastAsia="宋体" w:cs="Courier New"/>
                <w:bCs/>
                <w:color w:val="000000"/>
                <w:szCs w:val="21"/>
              </w:rPr>
              <w:t>1.</w:t>
            </w:r>
            <w:r>
              <w:rPr>
                <w:rFonts w:hint="eastAsia" w:ascii="宋体" w:hAnsi="宋体" w:eastAsia="宋体" w:cs="Times New Roman"/>
                <w:color w:val="000000"/>
                <w:szCs w:val="21"/>
              </w:rPr>
              <w:t>最终成交供应商的成交金额等于最后报价（如有修正，以确认修正后的最后报价为准）。</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价格分计算公式：</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报价得分=（基准价/最后报价）×</w:t>
            </w:r>
            <w:r>
              <w:rPr>
                <w:rFonts w:hint="eastAsia" w:ascii="宋体" w:hAnsi="宋体" w:eastAsia="宋体" w:cs="Courier New"/>
                <w:bCs/>
                <w:color w:val="000000"/>
                <w:szCs w:val="21"/>
                <w:u w:val="single"/>
              </w:rPr>
              <w:t>30分</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主要技术参数及配置优于采购文件要求的，每优于一项加3分，满分15分。（主要技术参数指第三章项目需求中标注▲号的技术需求及要求）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一档：实施方案基本齐全，施工计划不合理，保障措施无力得5分。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二档：实施方案内容齐全，各项计划基本合理得10分；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三挡：实施方案内容齐全，各项计划合理、保障措施有力得15分；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ind w:firstLine="420" w:firstLineChars="200"/>
              <w:rPr>
                <w:rFonts w:ascii="宋体" w:hAnsi="宋体" w:eastAsia="宋体" w:cs="仿宋"/>
                <w:szCs w:val="21"/>
              </w:rPr>
            </w:pP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ind w:firstLine="420" w:firstLineChars="200"/>
              <w:rPr>
                <w:rFonts w:ascii="宋体" w:hAnsi="宋体" w:eastAsia="宋体" w:cs="仿宋"/>
                <w:szCs w:val="21"/>
              </w:rPr>
            </w:pPr>
            <w:r>
              <w:rPr>
                <w:rFonts w:hint="eastAsia" w:ascii="宋体" w:hAnsi="宋体" w:eastAsia="宋体" w:cs="仿宋"/>
                <w:szCs w:val="21"/>
              </w:rPr>
              <w:t>一档（5分）：其方案内容一般、有售后服务机构、流程有欠缺、方案有欠缺；</w:t>
            </w:r>
          </w:p>
          <w:p>
            <w:pPr>
              <w:autoSpaceDE w:val="0"/>
              <w:autoSpaceDN w:val="0"/>
              <w:spacing w:line="440" w:lineRule="exact"/>
              <w:ind w:firstLine="420" w:firstLineChars="200"/>
              <w:rPr>
                <w:rFonts w:ascii="宋体" w:hAnsi="宋体" w:eastAsia="宋体" w:cs="仿宋"/>
                <w:szCs w:val="21"/>
              </w:rPr>
            </w:pPr>
            <w:r>
              <w:rPr>
                <w:rFonts w:hint="eastAsia" w:ascii="宋体" w:hAnsi="宋体" w:eastAsia="宋体" w:cs="仿宋"/>
                <w:szCs w:val="21"/>
              </w:rPr>
              <w:t>二档（10分）：其方案内容部分完整、能提供快速的售后服务响应，并针对本项目提供专门的售后服务技术支持、服务保障方案及应急预案，方案良好；</w:t>
            </w:r>
          </w:p>
          <w:p>
            <w:pPr>
              <w:autoSpaceDE w:val="0"/>
              <w:autoSpaceDN w:val="0"/>
              <w:spacing w:line="440" w:lineRule="exact"/>
              <w:ind w:firstLine="420" w:firstLineChars="200"/>
              <w:rPr>
                <w:rFonts w:ascii="宋体" w:hAnsi="宋体" w:eastAsia="宋体" w:cs="仿宋"/>
                <w:szCs w:val="21"/>
              </w:rPr>
            </w:pPr>
            <w:r>
              <w:rPr>
                <w:rFonts w:hint="eastAsia" w:ascii="宋体" w:hAnsi="宋体" w:eastAsia="宋体" w:cs="仿宋"/>
                <w:szCs w:val="21"/>
              </w:rPr>
              <w:t>三档（15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供应商2017年1月1日以来具有同类服务项目的销售业绩的，每项得2分。（以响应文件中提供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（1）具有系统实施、系统维护、服务支持的服务人员队伍，服务团队不低于3人，以2020年1月至今任意三个月供应商为技术人员缴纳社保的证明材料复印件并加盖供应商公章为准，无社保证明不得分； 满足条件的服务人数每增加1人得1分，满分5分；</w:t>
            </w:r>
          </w:p>
          <w:p>
            <w:pPr>
              <w:rPr>
                <w:rFonts w:ascii="宋体" w:hAnsi="宋体" w:eastAsia="宋体" w:cs="Arial"/>
                <w:szCs w:val="21"/>
              </w:rPr>
            </w:pPr>
            <w:r>
              <w:rPr>
                <w:rFonts w:hint="eastAsia" w:ascii="宋体" w:hAnsi="宋体" w:eastAsia="宋体" w:cs="Arial"/>
                <w:szCs w:val="21"/>
              </w:rPr>
              <w:t>（2）供应商通过ISO9001:2015国际质量体系认证的得2分（响应文件中提供证书复印件）；</w:t>
            </w:r>
          </w:p>
          <w:p>
            <w:pPr>
              <w:rPr>
                <w:rFonts w:ascii="宋体" w:hAnsi="宋体" w:eastAsia="宋体" w:cs="Arial"/>
                <w:szCs w:val="21"/>
              </w:rPr>
            </w:pPr>
            <w:r>
              <w:rPr>
                <w:rFonts w:hint="eastAsia" w:ascii="宋体" w:hAnsi="宋体" w:eastAsia="宋体" w:cs="Arial"/>
                <w:szCs w:val="21"/>
              </w:rPr>
              <w:t xml:space="preserve">（3）供应商具有相关软件著作权的，每提供1个得2分，满分4分（响应文件中提供证书复印件）； </w:t>
            </w:r>
          </w:p>
          <w:p>
            <w:pPr>
              <w:rPr>
                <w:rFonts w:ascii="宋体" w:hAnsi="宋体" w:eastAsia="宋体" w:cs="Arial"/>
                <w:szCs w:val="21"/>
              </w:rPr>
            </w:pPr>
            <w:r>
              <w:rPr>
                <w:rFonts w:hint="eastAsia" w:ascii="宋体" w:hAnsi="宋体" w:eastAsia="宋体" w:cs="Arial"/>
                <w:szCs w:val="21"/>
              </w:rPr>
              <w:t>（4）供应商获得通过QE：9000国际信用管理体系的质量的，得2分，满分2分。</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3.3</w:t>
            </w:r>
          </w:p>
        </w:tc>
        <w:tc>
          <w:tcPr>
            <w:tcW w:w="1553" w:type="dxa"/>
            <w:vAlign w:val="center"/>
          </w:tcPr>
          <w:p>
            <w:pPr>
              <w:widowControl/>
              <w:spacing w:line="400" w:lineRule="exact"/>
              <w:jc w:val="center"/>
              <w:rPr>
                <w:rFonts w:ascii="宋体" w:hAnsi="宋体" w:eastAsia="宋体" w:cs="Arial"/>
                <w:szCs w:val="21"/>
              </w:rPr>
            </w:pPr>
            <w:r>
              <w:rPr>
                <w:rFonts w:hint="eastAsia" w:ascii="宋体" w:hAnsi="宋体" w:eastAsia="宋体" w:cs="Arial"/>
                <w:szCs w:val="21"/>
              </w:rPr>
              <w:t>政策功能</w:t>
            </w:r>
          </w:p>
        </w:tc>
        <w:tc>
          <w:tcPr>
            <w:tcW w:w="6309" w:type="dxa"/>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1）属于财政部《节能产品政府采购品目清单》内优先采购（清单内未标注“★”的品目）的产品[响应文件中提供有效的认证证书复印件及品目清单（标注出竞标产品在品目清单中所属的品目），并加盖供应商公章]，根据其所占项目（或分标）预算金额比例得0至</w:t>
            </w:r>
            <w:r>
              <w:rPr>
                <w:rFonts w:hint="eastAsia" w:ascii="宋体" w:hAnsi="宋体" w:eastAsia="宋体" w:cs="Courier New"/>
                <w:bCs/>
                <w:color w:val="000000"/>
                <w:szCs w:val="21"/>
                <w:u w:val="single"/>
              </w:rPr>
              <w:t xml:space="preserve"> 1</w:t>
            </w:r>
            <w:r>
              <w:rPr>
                <w:rFonts w:hint="eastAsia" w:ascii="宋体" w:hAnsi="宋体" w:eastAsia="宋体" w:cs="Courier New"/>
                <w:bCs/>
                <w:color w:val="000000"/>
                <w:szCs w:val="21"/>
              </w:rPr>
              <w:t>分，满分</w:t>
            </w:r>
            <w:r>
              <w:rPr>
                <w:rFonts w:hint="eastAsia" w:ascii="宋体" w:hAnsi="宋体" w:eastAsia="宋体" w:cs="Courier New"/>
                <w:bCs/>
                <w:color w:val="000000"/>
                <w:szCs w:val="21"/>
                <w:u w:val="single"/>
              </w:rPr>
              <w:t xml:space="preserve"> 1 </w:t>
            </w:r>
            <w:r>
              <w:rPr>
                <w:rFonts w:hint="eastAsia" w:ascii="宋体" w:hAnsi="宋体" w:eastAsia="宋体" w:cs="Courier New"/>
                <w:bCs/>
                <w:color w:val="000000"/>
                <w:szCs w:val="21"/>
              </w:rPr>
              <w:t>分。</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2）属于财政部《环境标志产品政府采购品目清单》内的产品[响应文件中提供有效的认证证书复印件及品目清单（标注出竞标产品在品目清单中所属的品目），并加盖供应商公章]，根据其所占项目（或分标）预算金额比例得0至</w:t>
            </w:r>
            <w:r>
              <w:rPr>
                <w:rFonts w:hint="eastAsia" w:ascii="宋体" w:hAnsi="宋体" w:eastAsia="宋体" w:cs="Courier New"/>
                <w:bCs/>
                <w:color w:val="000000"/>
                <w:szCs w:val="21"/>
                <w:u w:val="single"/>
              </w:rPr>
              <w:t xml:space="preserve"> 1 </w:t>
            </w:r>
            <w:r>
              <w:rPr>
                <w:rFonts w:hint="eastAsia" w:ascii="宋体" w:hAnsi="宋体" w:eastAsia="宋体" w:cs="Courier New"/>
                <w:bCs/>
                <w:color w:val="000000"/>
                <w:szCs w:val="21"/>
              </w:rPr>
              <w:t>分，满分</w:t>
            </w:r>
            <w:r>
              <w:rPr>
                <w:rFonts w:hint="eastAsia" w:ascii="宋体" w:hAnsi="宋体" w:eastAsia="宋体" w:cs="Courier New"/>
                <w:bCs/>
                <w:color w:val="000000"/>
                <w:szCs w:val="21"/>
                <w:u w:val="single"/>
              </w:rPr>
              <w:t xml:space="preserve"> 1 </w:t>
            </w:r>
            <w:r>
              <w:rPr>
                <w:rFonts w:hint="eastAsia" w:ascii="宋体" w:hAnsi="宋体" w:eastAsia="宋体" w:cs="Courier New"/>
                <w:bCs/>
                <w:color w:val="000000"/>
                <w:szCs w:val="21"/>
              </w:rPr>
              <w:t>分</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560" w:firstLineChars="200"/>
        <w:jc w:val="left"/>
        <w:rPr>
          <w:rFonts w:ascii="仿宋_GB2312" w:eastAsia="仿宋_GB2312"/>
          <w:sz w:val="28"/>
          <w:szCs w:val="28"/>
        </w:rPr>
      </w:pPr>
    </w:p>
    <w:p>
      <w:pPr>
        <w:ind w:firstLine="560" w:firstLineChars="200"/>
        <w:jc w:val="left"/>
        <w:rPr>
          <w:rFonts w:ascii="仿宋_GB2312" w:eastAsia="仿宋_GB2312"/>
          <w:sz w:val="28"/>
          <w:szCs w:val="28"/>
        </w:rPr>
      </w:pPr>
      <w:r>
        <w:rPr>
          <w:rFonts w:hint="eastAsia" w:ascii="仿宋_GB2312" w:eastAsia="仿宋_GB2312"/>
          <w:sz w:val="28"/>
          <w:szCs w:val="28"/>
        </w:rPr>
        <w:t>三、成交候选人推荐原则</w:t>
      </w:r>
    </w:p>
    <w:p>
      <w:pPr>
        <w:ind w:firstLine="560" w:firstLineChars="200"/>
        <w:jc w:val="left"/>
        <w:rPr>
          <w:rFonts w:ascii="仿宋_GB2312" w:eastAsia="仿宋_GB2312"/>
          <w:sz w:val="28"/>
          <w:szCs w:val="28"/>
        </w:rPr>
      </w:pPr>
      <w:r>
        <w:rPr>
          <w:rFonts w:ascii="仿宋_GB2312" w:eastAsia="仿宋_GB2312"/>
          <w:sz w:val="28"/>
          <w:szCs w:val="28"/>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keepNext/>
        <w:keepLines/>
        <w:spacing w:before="260" w:after="260" w:line="416" w:lineRule="auto"/>
        <w:jc w:val="center"/>
        <w:outlineLvl w:val="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402D"/>
    <w:multiLevelType w:val="multilevel"/>
    <w:tmpl w:val="138040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581E2C"/>
    <w:multiLevelType w:val="multilevel"/>
    <w:tmpl w:val="1C581E2C"/>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EF18D8"/>
    <w:multiLevelType w:val="multilevel"/>
    <w:tmpl w:val="24EF18D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214458A"/>
    <w:multiLevelType w:val="multilevel"/>
    <w:tmpl w:val="4214458A"/>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890049"/>
    <w:multiLevelType w:val="multilevel"/>
    <w:tmpl w:val="5E89004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F1777"/>
    <w:rsid w:val="001947FD"/>
    <w:rsid w:val="002E5099"/>
    <w:rsid w:val="00345625"/>
    <w:rsid w:val="004261FD"/>
    <w:rsid w:val="004970E7"/>
    <w:rsid w:val="004B7907"/>
    <w:rsid w:val="005E5076"/>
    <w:rsid w:val="0070309E"/>
    <w:rsid w:val="008B759C"/>
    <w:rsid w:val="00A31622"/>
    <w:rsid w:val="00B207CB"/>
    <w:rsid w:val="00BF0177"/>
    <w:rsid w:val="00D346A0"/>
    <w:rsid w:val="00DE69C9"/>
    <w:rsid w:val="00FA0D28"/>
    <w:rsid w:val="46313809"/>
    <w:rsid w:val="469F6D6A"/>
    <w:rsid w:val="6A091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4181</Words>
  <Characters>23837</Characters>
  <Lines>198</Lines>
  <Paragraphs>55</Paragraphs>
  <TotalTime>63</TotalTime>
  <ScaleCrop>false</ScaleCrop>
  <LinksUpToDate>false</LinksUpToDate>
  <CharactersWithSpaces>27963</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2021-06-15T00:09:00Z</dcterms:created>
  <dc:creator>魏宝兴</dc:creator>
  <cp:lastModifiedBy>等故事长大</cp:lastModifiedBy>
  <dcterms:modified xsi:type="dcterms:W3CDTF">2021-06-18T03:28:00Z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